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2"/>
                <w:lang w:eastAsia="en-US" w:bidi="ar-SA"/>
              </w:rPr>
              <w:t xml:space="preserve">постановления Администрации Ивнянского муниципального округа  Белгородской области</w:t>
            </w:r>
            <w:r>
              <w:rPr>
                <w:b w:val="0"/>
                <w:bCs w:val="0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 w:val="0"/>
                <w:bCs w:val="0"/>
                <w:sz w:val="28"/>
                <w:szCs w:val="28"/>
                <w:lang w:eastAsia="ru-RU"/>
              </w:rPr>
              <w:t xml:space="preserve">О формировании и использовании премиальных выплат участникам разработки и реализации проектов</w:t>
            </w:r>
            <w:r>
              <w:rPr>
                <w:rFonts w:cs="Times New Roman"/>
                <w:b w:val="0"/>
                <w:bCs w:val="0"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841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27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09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102</cp:revision>
  <dcterms:created xsi:type="dcterms:W3CDTF">2021-04-09T06:48:00Z</dcterms:created>
  <dcterms:modified xsi:type="dcterms:W3CDTF">2026-01-26T12:57:46Z</dcterms:modified>
</cp:coreProperties>
</file>