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77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10877"/>
      </w:tblGrid>
      <w:tr w:rsidR="006D50C9" w14:paraId="268A4688" w14:textId="77777777">
        <w:trPr>
          <w:trHeight w:hRule="exact" w:val="3031"/>
        </w:trPr>
        <w:tc>
          <w:tcPr>
            <w:tcW w:w="10877" w:type="dxa"/>
          </w:tcPr>
          <w:p w14:paraId="0D739791" w14:textId="77777777" w:rsidR="006D50C9" w:rsidRDefault="00275982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 wp14:anchorId="5DD6E791" wp14:editId="187E824A">
                  <wp:extent cx="3810000" cy="904875"/>
                  <wp:effectExtent l="0" t="0" r="0" b="0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/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0C9" w14:paraId="73E24D52" w14:textId="77777777">
        <w:trPr>
          <w:trHeight w:hRule="exact" w:val="8335"/>
        </w:trPr>
        <w:tc>
          <w:tcPr>
            <w:tcW w:w="10877" w:type="dxa"/>
            <w:vAlign w:val="center"/>
          </w:tcPr>
          <w:p w14:paraId="21C0935E" w14:textId="77777777" w:rsidR="006D50C9" w:rsidRDefault="00275982">
            <w:pPr>
              <w:pStyle w:val="ConsPlusTitlePage"/>
              <w:jc w:val="center"/>
            </w:pPr>
            <w:r>
              <w:rPr>
                <w:sz w:val="48"/>
                <w:szCs w:val="48"/>
              </w:rPr>
              <w:t>Постановление Правительства РФ от 04.03.2017 N 259</w:t>
            </w:r>
            <w:r>
              <w:rPr>
                <w:sz w:val="48"/>
                <w:szCs w:val="48"/>
              </w:rPr>
              <w:br/>
              <w:t>(ред. от 24.01.2019)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 xml:space="preserve">"Об утверждении Правил проведения мониторинга заключения и реализации заключенных концессионных соглашений, в том числе на предмет соблюдения сторонами концессионного соглашения взятых на себя обязательств по достижению целевых показателей, содержащихся в </w:t>
            </w:r>
            <w:r>
              <w:rPr>
                <w:sz w:val="48"/>
                <w:szCs w:val="48"/>
              </w:rPr>
              <w:t>концессионном соглашении, сроков их реализации, объема привлекаемых инвестиций и иных существенных условий концессионного соглашения"</w:t>
            </w:r>
          </w:p>
        </w:tc>
      </w:tr>
      <w:tr w:rsidR="006D50C9" w14:paraId="330B46B3" w14:textId="77777777">
        <w:trPr>
          <w:trHeight w:hRule="exact" w:val="3031"/>
        </w:trPr>
        <w:tc>
          <w:tcPr>
            <w:tcW w:w="10877" w:type="dxa"/>
            <w:vAlign w:val="center"/>
          </w:tcPr>
          <w:p w14:paraId="4BBD2A44" w14:textId="77777777" w:rsidR="006D50C9" w:rsidRDefault="00275982">
            <w:pPr>
              <w:pStyle w:val="ConsPlusTitlePage"/>
              <w:jc w:val="center"/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https://www.consultant.ru/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https://www.consultant.ru/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02.02.2021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52A40C41" w14:textId="77777777" w:rsidR="006D50C9" w:rsidRDefault="006D50C9">
      <w:pPr>
        <w:widowControl w:val="0"/>
        <w:spacing w:after="0"/>
        <w:rPr>
          <w:rFonts w:ascii="Arial" w:hAnsi="Arial" w:cs="Arial"/>
          <w:sz w:val="24"/>
          <w:szCs w:val="24"/>
        </w:rPr>
        <w:sectPr w:rsidR="006D50C9">
          <w:pgSz w:w="11906" w:h="16838"/>
          <w:pgMar w:top="841" w:right="595" w:bottom="841" w:left="595" w:header="0" w:footer="0" w:gutter="0"/>
          <w:cols w:space="1701"/>
          <w:docGrid w:linePitch="360"/>
        </w:sectPr>
      </w:pPr>
    </w:p>
    <w:p w14:paraId="7A770189" w14:textId="77777777" w:rsidR="006D50C9" w:rsidRDefault="006D50C9">
      <w:pPr>
        <w:pStyle w:val="ConsPlusNormal"/>
        <w:jc w:val="both"/>
        <w:outlineLvl w:val="0"/>
      </w:pPr>
    </w:p>
    <w:p w14:paraId="4282E280" w14:textId="77777777" w:rsidR="006D50C9" w:rsidRDefault="00275982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32381A8C" w14:textId="77777777" w:rsidR="006D50C9" w:rsidRDefault="006D50C9">
      <w:pPr>
        <w:pStyle w:val="ConsPlusTitle"/>
        <w:jc w:val="center"/>
      </w:pPr>
    </w:p>
    <w:p w14:paraId="2D5F42BB" w14:textId="77777777" w:rsidR="006D50C9" w:rsidRDefault="00275982">
      <w:pPr>
        <w:pStyle w:val="ConsPlusTitle"/>
        <w:jc w:val="center"/>
      </w:pPr>
      <w:r>
        <w:t>ПОСТАНОВЛЕНИЕ</w:t>
      </w:r>
    </w:p>
    <w:p w14:paraId="3A8FB98E" w14:textId="77777777" w:rsidR="006D50C9" w:rsidRDefault="00275982">
      <w:pPr>
        <w:pStyle w:val="ConsPlusTitle"/>
        <w:jc w:val="center"/>
      </w:pPr>
      <w:r>
        <w:t>от 4 марта 2017 г. N 259</w:t>
      </w:r>
    </w:p>
    <w:p w14:paraId="36CE4A36" w14:textId="77777777" w:rsidR="006D50C9" w:rsidRDefault="006D50C9">
      <w:pPr>
        <w:pStyle w:val="ConsPlusTitle"/>
        <w:jc w:val="center"/>
      </w:pPr>
    </w:p>
    <w:p w14:paraId="2301DA5A" w14:textId="77777777" w:rsidR="006D50C9" w:rsidRDefault="00275982">
      <w:pPr>
        <w:pStyle w:val="ConsPlusTitle"/>
        <w:jc w:val="center"/>
      </w:pPr>
      <w:r>
        <w:t>ОБ УТВЕРЖДЕНИИ ПРАВИЛ</w:t>
      </w:r>
    </w:p>
    <w:p w14:paraId="19227548" w14:textId="77777777" w:rsidR="006D50C9" w:rsidRDefault="00275982">
      <w:pPr>
        <w:pStyle w:val="ConsPlusTitle"/>
        <w:jc w:val="center"/>
      </w:pPr>
      <w:r>
        <w:t>ПРОВЕДЕНИЯ МОНИТОРИНГА ЗАКЛЮЧЕНИЯ И РЕАЛИЗАЦИИ ЗАКЛЮЧЕННЫХ</w:t>
      </w:r>
    </w:p>
    <w:p w14:paraId="59FA02AD" w14:textId="77777777" w:rsidR="006D50C9" w:rsidRDefault="00275982">
      <w:pPr>
        <w:pStyle w:val="ConsPlusTitle"/>
        <w:jc w:val="center"/>
      </w:pPr>
      <w:r>
        <w:t>КОНЦЕССИОННЫХ СОГЛАШЕНИЙ, В ТОМ ЧИСЛЕ НА ПРЕДМЕТ СОБЛЮДЕНИЯ</w:t>
      </w:r>
    </w:p>
    <w:p w14:paraId="6745978A" w14:textId="77777777" w:rsidR="006D50C9" w:rsidRDefault="00275982">
      <w:pPr>
        <w:pStyle w:val="ConsPlusTitle"/>
        <w:jc w:val="center"/>
      </w:pPr>
      <w:r>
        <w:t>СТОРОНАМИ КОНЦЕССИОННОГО СОГЛАШЕНИЯ ВЗЯТЫХ НА СЕБЯ</w:t>
      </w:r>
    </w:p>
    <w:p w14:paraId="73D36A2A" w14:textId="77777777" w:rsidR="006D50C9" w:rsidRDefault="00275982">
      <w:pPr>
        <w:pStyle w:val="ConsPlusTitle"/>
        <w:jc w:val="center"/>
      </w:pPr>
      <w:r>
        <w:t>ОБЯЗАТЕЛЬСТВ ПО ДОСТИЖЕНИЮ ЦЕЛЕВЫХ ПОКАЗАТЕЛЕЙ,</w:t>
      </w:r>
    </w:p>
    <w:p w14:paraId="109CAFB8" w14:textId="77777777" w:rsidR="006D50C9" w:rsidRDefault="00275982">
      <w:pPr>
        <w:pStyle w:val="ConsPlusTitle"/>
        <w:jc w:val="center"/>
      </w:pPr>
      <w:r>
        <w:t>СОДЕРЖАЩИХСЯ В К</w:t>
      </w:r>
      <w:r>
        <w:t>ОНЦЕССИОННОМ СОГЛАШЕНИИ, СРОКОВ</w:t>
      </w:r>
    </w:p>
    <w:p w14:paraId="660DCD07" w14:textId="77777777" w:rsidR="006D50C9" w:rsidRDefault="00275982">
      <w:pPr>
        <w:pStyle w:val="ConsPlusTitle"/>
        <w:jc w:val="center"/>
      </w:pPr>
      <w:r>
        <w:t>ИХ РЕАЛИЗАЦИИ, ОБЪЕМА ПРИВЛЕКАЕМЫХ ИНВЕСТИЦИЙ И ИНЫХ</w:t>
      </w:r>
    </w:p>
    <w:p w14:paraId="3A7F85AC" w14:textId="77777777" w:rsidR="006D50C9" w:rsidRDefault="00275982">
      <w:pPr>
        <w:pStyle w:val="ConsPlusTitle"/>
        <w:jc w:val="center"/>
      </w:pPr>
      <w:r>
        <w:t>СУЩЕСТВЕННЫХ УСЛОВИЙ КОНЦЕССИОННОГО СОГЛАШЕНИЯ</w:t>
      </w:r>
    </w:p>
    <w:p w14:paraId="4937E230" w14:textId="77777777" w:rsidR="006D50C9" w:rsidRDefault="006D50C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6D50C9" w14:paraId="29FF8157" w14:textId="77777777">
        <w:trPr>
          <w:jc w:val="center"/>
        </w:trPr>
        <w:tc>
          <w:tcPr>
            <w:tcW w:w="1020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7FED28F2" w14:textId="77777777" w:rsidR="006D50C9" w:rsidRDefault="002759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4848C021" w14:textId="77777777" w:rsidR="006D50C9" w:rsidRDefault="002759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tooltip="consultantplus://offline/ref=1EAA9ACFC7FAEB36431A1BD7C1DC24083A0BED8C11C7EB7859FB6E85D89017C99DD83591A2344D6D321E13E96C8D16254684D39F62FA6935zFq6J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  <w:r>
              <w:rPr>
                <w:color w:val="392C69"/>
              </w:rPr>
              <w:t xml:space="preserve"> РФ от 24.01.2019 N 31)</w:t>
            </w:r>
          </w:p>
        </w:tc>
      </w:tr>
    </w:tbl>
    <w:p w14:paraId="4A11A7CB" w14:textId="77777777" w:rsidR="006D50C9" w:rsidRDefault="006D50C9">
      <w:pPr>
        <w:pStyle w:val="ConsPlusNormal"/>
        <w:jc w:val="both"/>
      </w:pPr>
    </w:p>
    <w:p w14:paraId="225EF1A3" w14:textId="48137AEA" w:rsidR="006D50C9" w:rsidRDefault="00275982">
      <w:pPr>
        <w:pStyle w:val="ConsPlusNormal"/>
        <w:ind w:firstLine="540"/>
        <w:jc w:val="both"/>
      </w:pPr>
      <w:r>
        <w:t xml:space="preserve">В соответствии с </w:t>
      </w:r>
      <w:hyperlink r:id="rId10" w:tooltip="./19.12.2020)%0A%7BКонсультантПлюс%7D" w:history="1">
        <w:r>
          <w:rPr>
            <w:color w:val="0000FF"/>
          </w:rPr>
          <w:t>частью 6 статьи 4</w:t>
        </w:r>
      </w:hyperlink>
      <w:r>
        <w:t xml:space="preserve"> Федерального закона "О концессионных соглашениях" Правительство Российской Федерации постановляет:</w:t>
      </w:r>
    </w:p>
    <w:p w14:paraId="2F68BA5B" w14:textId="77777777" w:rsidR="006D50C9" w:rsidRDefault="00275982">
      <w:pPr>
        <w:pStyle w:val="ConsPlusNormal"/>
        <w:spacing w:before="200"/>
        <w:ind w:firstLine="540"/>
        <w:jc w:val="both"/>
      </w:pPr>
      <w:r>
        <w:t xml:space="preserve">Утвердить прилагаемые </w:t>
      </w:r>
      <w:hyperlink w:anchor="Par33" w:tooltip="#Par33" w:history="1">
        <w:r>
          <w:rPr>
            <w:color w:val="0000FF"/>
          </w:rPr>
          <w:t>Правила</w:t>
        </w:r>
      </w:hyperlink>
      <w:r>
        <w:t xml:space="preserve"> проведения мониторинга заключения и реализации заключенных концессионных соглашений, в то</w:t>
      </w:r>
      <w:r>
        <w:t>м числе на предмет соблюдения сторонами концессионного соглашения взятых на себя обязательств по достижению целевых показателей, содержащихся в концессионном соглашении, сроков их реализации, объема привлекаемых инвестиций и иных существенных условий конце</w:t>
      </w:r>
      <w:r>
        <w:t>ссионного соглашения.</w:t>
      </w:r>
    </w:p>
    <w:p w14:paraId="5FC1FB1D" w14:textId="77777777" w:rsidR="006D50C9" w:rsidRDefault="006D50C9">
      <w:pPr>
        <w:pStyle w:val="ConsPlusNormal"/>
        <w:jc w:val="both"/>
      </w:pPr>
    </w:p>
    <w:p w14:paraId="2FCB815F" w14:textId="77777777" w:rsidR="006D50C9" w:rsidRDefault="00275982">
      <w:pPr>
        <w:pStyle w:val="ConsPlusNormal"/>
        <w:jc w:val="right"/>
      </w:pPr>
      <w:r>
        <w:t>Председатель Правительства</w:t>
      </w:r>
    </w:p>
    <w:p w14:paraId="2D2EDA53" w14:textId="77777777" w:rsidR="006D50C9" w:rsidRDefault="00275982">
      <w:pPr>
        <w:pStyle w:val="ConsPlusNormal"/>
        <w:jc w:val="right"/>
      </w:pPr>
      <w:r>
        <w:t>Российской Федерации</w:t>
      </w:r>
    </w:p>
    <w:p w14:paraId="797A808F" w14:textId="77777777" w:rsidR="006D50C9" w:rsidRDefault="00275982">
      <w:pPr>
        <w:pStyle w:val="ConsPlusNormal"/>
        <w:jc w:val="right"/>
      </w:pPr>
      <w:r>
        <w:t>Д.МЕДВЕДЕВ</w:t>
      </w:r>
    </w:p>
    <w:p w14:paraId="6BA2E90E" w14:textId="77777777" w:rsidR="006D50C9" w:rsidRDefault="006D50C9">
      <w:pPr>
        <w:pStyle w:val="ConsPlusNormal"/>
        <w:jc w:val="both"/>
      </w:pPr>
    </w:p>
    <w:p w14:paraId="63D3A8B5" w14:textId="77777777" w:rsidR="006D50C9" w:rsidRDefault="006D50C9">
      <w:pPr>
        <w:pStyle w:val="ConsPlusNormal"/>
        <w:jc w:val="both"/>
      </w:pPr>
    </w:p>
    <w:p w14:paraId="49FC13E0" w14:textId="77777777" w:rsidR="006D50C9" w:rsidRDefault="006D50C9">
      <w:pPr>
        <w:pStyle w:val="ConsPlusNormal"/>
        <w:jc w:val="both"/>
      </w:pPr>
    </w:p>
    <w:p w14:paraId="66935655" w14:textId="77777777" w:rsidR="006D50C9" w:rsidRDefault="006D50C9">
      <w:pPr>
        <w:pStyle w:val="ConsPlusNormal"/>
        <w:jc w:val="both"/>
      </w:pPr>
    </w:p>
    <w:p w14:paraId="3D63F28A" w14:textId="77777777" w:rsidR="006D50C9" w:rsidRDefault="006D50C9">
      <w:pPr>
        <w:pStyle w:val="ConsPlusNormal"/>
        <w:jc w:val="both"/>
      </w:pPr>
    </w:p>
    <w:p w14:paraId="3E5C750B" w14:textId="77777777" w:rsidR="006D50C9" w:rsidRDefault="00275982">
      <w:pPr>
        <w:pStyle w:val="ConsPlusNormal"/>
        <w:jc w:val="right"/>
        <w:outlineLvl w:val="0"/>
      </w:pPr>
      <w:r>
        <w:t>Утверждены</w:t>
      </w:r>
    </w:p>
    <w:p w14:paraId="7C0309D3" w14:textId="77777777" w:rsidR="006D50C9" w:rsidRDefault="00275982">
      <w:pPr>
        <w:pStyle w:val="ConsPlusNormal"/>
        <w:jc w:val="right"/>
      </w:pPr>
      <w:r>
        <w:t>постановлением Правительства</w:t>
      </w:r>
    </w:p>
    <w:p w14:paraId="1B9CD3E6" w14:textId="77777777" w:rsidR="006D50C9" w:rsidRDefault="00275982">
      <w:pPr>
        <w:pStyle w:val="ConsPlusNormal"/>
        <w:jc w:val="right"/>
      </w:pPr>
      <w:r>
        <w:t>Российской Федерации</w:t>
      </w:r>
    </w:p>
    <w:p w14:paraId="6A79D5ED" w14:textId="77777777" w:rsidR="006D50C9" w:rsidRDefault="00275982">
      <w:pPr>
        <w:pStyle w:val="ConsPlusNormal"/>
        <w:jc w:val="right"/>
      </w:pPr>
      <w:r>
        <w:t>от 4 марта 2017 г. N 259</w:t>
      </w:r>
    </w:p>
    <w:p w14:paraId="5F10C7DA" w14:textId="77777777" w:rsidR="006D50C9" w:rsidRDefault="006D50C9">
      <w:pPr>
        <w:pStyle w:val="ConsPlusNormal"/>
        <w:jc w:val="both"/>
      </w:pPr>
    </w:p>
    <w:p w14:paraId="21CFDF79" w14:textId="77777777" w:rsidR="006D50C9" w:rsidRDefault="00275982">
      <w:pPr>
        <w:pStyle w:val="ConsPlusTitle"/>
        <w:jc w:val="center"/>
      </w:pPr>
      <w:bookmarkStart w:id="0" w:name="Par33"/>
      <w:bookmarkEnd w:id="0"/>
      <w:r>
        <w:t>ПРАВИЛА</w:t>
      </w:r>
    </w:p>
    <w:p w14:paraId="3EBCE04D" w14:textId="77777777" w:rsidR="006D50C9" w:rsidRDefault="00275982">
      <w:pPr>
        <w:pStyle w:val="ConsPlusTitle"/>
        <w:jc w:val="center"/>
      </w:pPr>
      <w:r>
        <w:t>ПРОВЕДЕНИЯ МОНИТОРИНГА ЗАКЛЮЧЕНИЯ И РЕАЛИЗАЦИИ ЗАКЛЮЧЕННЫХ</w:t>
      </w:r>
    </w:p>
    <w:p w14:paraId="6EF5BE6A" w14:textId="77777777" w:rsidR="006D50C9" w:rsidRDefault="00275982">
      <w:pPr>
        <w:pStyle w:val="ConsPlusTitle"/>
        <w:jc w:val="center"/>
      </w:pPr>
      <w:r>
        <w:t>КОНЦЕССИОННЫХ СОГЛАШЕНИЙ, В ТОМ ЧИСЛЕ НА ПРЕДМЕТ СОБЛЮДЕНИЯ</w:t>
      </w:r>
    </w:p>
    <w:p w14:paraId="6496DD8B" w14:textId="77777777" w:rsidR="006D50C9" w:rsidRDefault="00275982">
      <w:pPr>
        <w:pStyle w:val="ConsPlusTitle"/>
        <w:jc w:val="center"/>
      </w:pPr>
      <w:r>
        <w:t>СТОРОНАМИ КОНЦЕССИОННОГО СОГЛАШЕНИЯ ВЗЯТЫХ НА СЕБЯ</w:t>
      </w:r>
    </w:p>
    <w:p w14:paraId="0ABE1336" w14:textId="77777777" w:rsidR="006D50C9" w:rsidRDefault="00275982">
      <w:pPr>
        <w:pStyle w:val="ConsPlusTitle"/>
        <w:jc w:val="center"/>
      </w:pPr>
      <w:r>
        <w:t>ОБЯЗАТЕЛЬСТВ ПО ДОСТИЖЕНИЮ ЦЕЛЕВЫХ ПОКАЗАТЕЛЕЙ,</w:t>
      </w:r>
    </w:p>
    <w:p w14:paraId="38F3BFCE" w14:textId="77777777" w:rsidR="006D50C9" w:rsidRDefault="00275982">
      <w:pPr>
        <w:pStyle w:val="ConsPlusTitle"/>
        <w:jc w:val="center"/>
      </w:pPr>
      <w:r>
        <w:t>СОДЕРЖАЩИХСЯ В КОНЦЕССИОННОМ СОГЛАШЕНИ</w:t>
      </w:r>
      <w:r>
        <w:t>И, СРОКОВ</w:t>
      </w:r>
    </w:p>
    <w:p w14:paraId="7A121CB9" w14:textId="77777777" w:rsidR="006D50C9" w:rsidRDefault="00275982">
      <w:pPr>
        <w:pStyle w:val="ConsPlusTitle"/>
        <w:jc w:val="center"/>
      </w:pPr>
      <w:r>
        <w:t>ИХ РЕАЛИЗАЦИИ, ОБЪЕМА ПРИВЛЕКАЕМЫХ ИНВЕСТИЦИЙ И ИНЫХ</w:t>
      </w:r>
    </w:p>
    <w:p w14:paraId="23E4CBB6" w14:textId="77777777" w:rsidR="006D50C9" w:rsidRDefault="00275982">
      <w:pPr>
        <w:pStyle w:val="ConsPlusTitle"/>
        <w:jc w:val="center"/>
      </w:pPr>
      <w:r>
        <w:t>СУЩЕСТВЕННЫХ УСЛОВИЙ КОНЦЕССИОННОГО СОГЛАШЕНИЯ</w:t>
      </w:r>
    </w:p>
    <w:p w14:paraId="1B67CB2D" w14:textId="77777777" w:rsidR="006D50C9" w:rsidRDefault="006D50C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6D50C9" w14:paraId="5EA048EE" w14:textId="77777777">
        <w:trPr>
          <w:jc w:val="center"/>
        </w:trPr>
        <w:tc>
          <w:tcPr>
            <w:tcW w:w="1020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77EA50D1" w14:textId="77777777" w:rsidR="006D50C9" w:rsidRDefault="002759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732B4919" w14:textId="77777777" w:rsidR="006D50C9" w:rsidRDefault="002759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tooltip="consultantplus://offline/ref=1EAA9ACFC7FAEB36431A1BD7C1DC24083A0BED8C11C7EB7859FB6E85D89017C99DD83591A2344D6D321E13E96C8D16254684D39F62FA6935zFq6J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24.01.2019 N 31)</w:t>
            </w:r>
          </w:p>
        </w:tc>
      </w:tr>
    </w:tbl>
    <w:p w14:paraId="461AAE40" w14:textId="77777777" w:rsidR="006D50C9" w:rsidRDefault="006D50C9">
      <w:pPr>
        <w:pStyle w:val="ConsPlusNormal"/>
        <w:jc w:val="both"/>
      </w:pPr>
    </w:p>
    <w:p w14:paraId="089B9449" w14:textId="77777777" w:rsidR="006D50C9" w:rsidRDefault="00275982">
      <w:pPr>
        <w:pStyle w:val="ConsPlusNormal"/>
        <w:ind w:firstLine="540"/>
        <w:jc w:val="both"/>
      </w:pPr>
      <w:r>
        <w:t>1. Настоящие Правила определяют порядок проведения мониторинга заключения и реализации заключенных концессионных соглашений, в том числе на предме</w:t>
      </w:r>
      <w:r>
        <w:t xml:space="preserve">т соблюдения сторонами концессионного </w:t>
      </w:r>
      <w:r>
        <w:lastRenderedPageBreak/>
        <w:t>соглашения взятых на себя обязательств по достижению целевых показателей, содержащихся в концессионном соглашении, сроков их реализации, объема привлекаемых инвестиций и иных существенных условий концессионного соглаше</w:t>
      </w:r>
      <w:r>
        <w:t>ния (далее - мониторинг).</w:t>
      </w:r>
    </w:p>
    <w:p w14:paraId="53946F7D" w14:textId="77777777" w:rsidR="006D50C9" w:rsidRDefault="00275982">
      <w:pPr>
        <w:pStyle w:val="ConsPlusNormal"/>
        <w:spacing w:before="200"/>
        <w:ind w:firstLine="540"/>
        <w:jc w:val="both"/>
      </w:pPr>
      <w:r>
        <w:t xml:space="preserve">2. Мониторинг проводится федеральным органом исполнительной власти, уполномоченным на осуществление мониторинга согласно </w:t>
      </w:r>
      <w:hyperlink r:id="rId12" w:tooltip="consultantplus://offline/ref=1EAA9ACFC7FAEB36431A1BD7C1DC24083B0BE88D13CEEB7859FB6E85D89017C99DD83591A2344D6E361E13E96C8D16254684D39F62FA6935zFq6J" w:history="1">
        <w:r>
          <w:rPr>
            <w:color w:val="0000FF"/>
          </w:rPr>
          <w:t>постановлению</w:t>
        </w:r>
      </w:hyperlink>
      <w:r>
        <w:t xml:space="preserve"> Правительства Российской Федерации о</w:t>
      </w:r>
      <w:r>
        <w:t>т 4 марта 2017 г. N 258 "Об определении федерального органа исполнительной власти, уполномоченного на осуществление мониторинга заключения и реализации заключенных концессионных соглашений, а также федерального органа исполнительной власти, уполномоченного</w:t>
      </w:r>
      <w:r>
        <w:t xml:space="preserve"> на утверждение формы предоставления сведений для участия в конкурсе на право заключения концессионного соглашения, объектом которого являются объекты теплоснабжения, централизованные системы горячего водоснабжения, холодного водоснабжения и (или) водоотве</w:t>
      </w:r>
      <w:r>
        <w:t>дения, отдельные объекты таких систем, указанных в части 1 статьи 48 Федерального закона "О концессионных соглашениях" (далее - уполномоченный орган).</w:t>
      </w:r>
    </w:p>
    <w:p w14:paraId="0085E661" w14:textId="77777777" w:rsidR="006D50C9" w:rsidRDefault="00275982">
      <w:pPr>
        <w:pStyle w:val="ConsPlusNormal"/>
        <w:spacing w:before="200"/>
        <w:ind w:firstLine="540"/>
        <w:jc w:val="both"/>
      </w:pPr>
      <w:r>
        <w:t>3. Мониторинг проводится посредством сбора, анализа, обобщения, систематизации и учета предоставленных ко</w:t>
      </w:r>
      <w:r>
        <w:t>нцедентами сведений о планируемых, реализуемых и реализованных за отчетный период на территории Российской Федерации концессионных соглашениях.</w:t>
      </w:r>
    </w:p>
    <w:p w14:paraId="2BE3D428" w14:textId="77777777" w:rsidR="006D50C9" w:rsidRDefault="00275982">
      <w:pPr>
        <w:pStyle w:val="ConsPlusNormal"/>
        <w:spacing w:before="200"/>
        <w:ind w:firstLine="540"/>
        <w:jc w:val="both"/>
      </w:pPr>
      <w:r>
        <w:t>4. Концедент в течение 10 рабочих дней после принятия решения о заключении концессионного соглашения размещает в</w:t>
      </w:r>
      <w:r>
        <w:t xml:space="preserve"> электронном виде с использованием государственной автоматизированной информационной системы "Управление" (далее - информационная система) сведения о проекте концессионного соглашения, в том числе о содержащихся в проекте концессионного соглашения целевых </w:t>
      </w:r>
      <w:r>
        <w:t>показателях, сроках их реализации, планируемом объеме привлекаемых инвестиций и об иных существенных условиях концессионного соглашения.</w:t>
      </w:r>
    </w:p>
    <w:p w14:paraId="5E4ECFDB" w14:textId="17E91C8E" w:rsidR="006D50C9" w:rsidRDefault="00275982">
      <w:pPr>
        <w:pStyle w:val="ConsPlusNormal"/>
        <w:spacing w:before="200"/>
        <w:ind w:firstLine="540"/>
        <w:jc w:val="both"/>
      </w:pPr>
      <w:r>
        <w:t>5. Концедент в электронном виде с использованием информационной системы в течение 10 рабочих дней со дня наступления со</w:t>
      </w:r>
      <w:r>
        <w:t xml:space="preserve">ответствующего события вносит информацию о рассмотрении предложения о заключении концессионного соглашения в соответствии с </w:t>
      </w:r>
      <w:hyperlink r:id="rId13" w:tooltip="./19.12.2020)%0A%7BКонсультантПлюс%7D" w:history="1">
        <w:r>
          <w:rPr>
            <w:color w:val="0000FF"/>
          </w:rPr>
          <w:t>частью 4.4 статьи 37</w:t>
        </w:r>
      </w:hyperlink>
      <w:r>
        <w:t xml:space="preserve"> Федерального з</w:t>
      </w:r>
      <w:r>
        <w:t xml:space="preserve">акона "О концессионных соглашениях", о подготовке к проведению и проведении конкурса в соответствии со </w:t>
      </w:r>
      <w:hyperlink r:id="rId14" w:tooltip="./19.12.2020)%0A%7BКонсультантПлюс%7D" w:history="1">
        <w:r>
          <w:rPr>
            <w:color w:val="0000FF"/>
          </w:rPr>
          <w:t>статьями 22</w:t>
        </w:r>
      </w:hyperlink>
      <w:r>
        <w:t xml:space="preserve">, </w:t>
      </w:r>
      <w:hyperlink r:id="rId15" w:tooltip="./19.12.2020)%0A%7BКонсультантПлюс%7D" w:history="1">
        <w:r>
          <w:rPr>
            <w:color w:val="0000FF"/>
          </w:rPr>
          <w:t>26</w:t>
        </w:r>
      </w:hyperlink>
      <w:r>
        <w:t xml:space="preserve"> - </w:t>
      </w:r>
      <w:hyperlink r:id="rId16" w:tooltip="./19.12.2020)%0A%7BКонсультантПлюс%7D" w:history="1">
        <w:r>
          <w:rPr>
            <w:color w:val="0000FF"/>
          </w:rPr>
          <w:t>32</w:t>
        </w:r>
      </w:hyperlink>
      <w:r>
        <w:t xml:space="preserve"> Федерального закона "О концессионных соглашениях", а также в течение 10 рабочих дней со дня заклю</w:t>
      </w:r>
      <w:r>
        <w:t>чения концессионного соглашения и в дальнейшем каждые 6 месяцев в течение всего периода реализации концессионного соглашения (с даты принятия решения о заключении концессионного соглашения до даты полного исполнения сторонами концессионного соглашения всех</w:t>
      </w:r>
      <w:r>
        <w:t xml:space="preserve"> обязательств) актуализирует сведения о концессионном соглашении, в том числе о содержащихся в концессионном соглашении целевых показателях, сроках их реализации, об объеме привлекаемых инвестиций и иных существенных условиях концессионного соглашения. При</w:t>
      </w:r>
      <w:r>
        <w:t xml:space="preserve"> этом информация обо всех юридически значимых действиях, связанных с концессионным соглашением, таких, как заключение концессионного соглашения, внесение в него изменений и расторжение концессионного соглашения, подписание акта приема-передачи объекта конц</w:t>
      </w:r>
      <w:r>
        <w:t>ессионного соглашения, предоставление земельных участков, ввод объекта концессионного соглашения в эксплуатацию, государственная регистрация прав владения и пользования объектом концессионного соглашения, размещается концедентом в электронном виде с исполь</w:t>
      </w:r>
      <w:r>
        <w:t>зованием информационной системы в течение 10 рабочих дней со дня совершения таких действий.</w:t>
      </w:r>
    </w:p>
    <w:p w14:paraId="1088FB49" w14:textId="77777777" w:rsidR="006D50C9" w:rsidRDefault="00275982">
      <w:pPr>
        <w:pStyle w:val="ConsPlusNormal"/>
        <w:spacing w:before="200"/>
        <w:ind w:firstLine="540"/>
        <w:jc w:val="both"/>
      </w:pPr>
      <w:r>
        <w:t>6. Концедент обеспечивает полноту и достоверность внесенных им в информационную систему сведений.</w:t>
      </w:r>
    </w:p>
    <w:p w14:paraId="721CDEE8" w14:textId="77777777" w:rsidR="006D50C9" w:rsidRDefault="00275982">
      <w:pPr>
        <w:pStyle w:val="ConsPlusNormal"/>
        <w:spacing w:before="200"/>
        <w:ind w:firstLine="540"/>
        <w:jc w:val="both"/>
      </w:pPr>
      <w:r>
        <w:t>7. Размещение концедентом сведений, составляющих государственную т</w:t>
      </w:r>
      <w:r>
        <w:t>айну и иную охраняемую законом тайну, осуществляется в порядке, установленном законодательством Российской Федерации.</w:t>
      </w:r>
    </w:p>
    <w:p w14:paraId="58A05DBF" w14:textId="77777777" w:rsidR="006D50C9" w:rsidRDefault="00275982">
      <w:pPr>
        <w:pStyle w:val="ConsPlusNormal"/>
        <w:spacing w:before="200"/>
        <w:ind w:firstLine="540"/>
        <w:jc w:val="both"/>
      </w:pPr>
      <w:r>
        <w:t xml:space="preserve">8. Уполномоченный орган формирует начиная с 2018 года ежегодно, до 15 марта года, следующего за отчетным годом, результаты мониторинга за </w:t>
      </w:r>
      <w:r>
        <w:t xml:space="preserve">отчетный год по состоянию на 1 января года, следующего за отчетным годом, и размещает их на своем официальном сайте в информационно-телекоммуникационной сети "Интернет" в соответствии с примерной формой согласно </w:t>
      </w:r>
      <w:hyperlink w:anchor="Par76" w:tooltip="#Par76" w:history="1">
        <w:r>
          <w:rPr>
            <w:color w:val="0000FF"/>
          </w:rPr>
          <w:t>приложе</w:t>
        </w:r>
        <w:r>
          <w:rPr>
            <w:color w:val="0000FF"/>
          </w:rPr>
          <w:t>нию</w:t>
        </w:r>
      </w:hyperlink>
      <w:r>
        <w:t>.</w:t>
      </w:r>
    </w:p>
    <w:p w14:paraId="1B393EC8" w14:textId="77777777" w:rsidR="006D50C9" w:rsidRDefault="00275982">
      <w:pPr>
        <w:pStyle w:val="ConsPlusNormal"/>
        <w:spacing w:before="200"/>
        <w:ind w:firstLine="540"/>
        <w:jc w:val="both"/>
      </w:pPr>
      <w:r>
        <w:t>9. Уполномоченный орган в течение 50 рабочих дней после формирования результатов мониторинга направляет в Правительство Российской Федерации доклад, включающий в себя оценку проблем и перспективы дальнейшей реализации заключенных концессионных соглаше</w:t>
      </w:r>
      <w:r>
        <w:t>ний.</w:t>
      </w:r>
    </w:p>
    <w:p w14:paraId="7E2A42B0" w14:textId="77777777" w:rsidR="006D50C9" w:rsidRDefault="00275982">
      <w:pPr>
        <w:pStyle w:val="ConsPlusNormal"/>
        <w:spacing w:before="200"/>
        <w:ind w:firstLine="540"/>
        <w:jc w:val="both"/>
      </w:pPr>
      <w:r>
        <w:lastRenderedPageBreak/>
        <w:t>10. Сведения, предоставленные концедентами в целях проведения мониторинга, хранятся в информационной системе в течение срока действия концессионного соглашения и не менее 15 лет со дня окончания срока его действия.</w:t>
      </w:r>
    </w:p>
    <w:p w14:paraId="364D5771" w14:textId="77777777" w:rsidR="006D50C9" w:rsidRDefault="006D50C9">
      <w:pPr>
        <w:pStyle w:val="ConsPlusNormal"/>
        <w:jc w:val="both"/>
      </w:pPr>
    </w:p>
    <w:p w14:paraId="50206D7B" w14:textId="77777777" w:rsidR="006D50C9" w:rsidRDefault="006D50C9">
      <w:pPr>
        <w:pStyle w:val="ConsPlusNormal"/>
        <w:jc w:val="both"/>
      </w:pPr>
    </w:p>
    <w:p w14:paraId="0714E2F3" w14:textId="77777777" w:rsidR="006D50C9" w:rsidRDefault="006D50C9">
      <w:pPr>
        <w:pStyle w:val="ConsPlusNormal"/>
        <w:jc w:val="both"/>
      </w:pPr>
    </w:p>
    <w:p w14:paraId="475340E5" w14:textId="77777777" w:rsidR="006D50C9" w:rsidRDefault="006D50C9">
      <w:pPr>
        <w:pStyle w:val="ConsPlusNormal"/>
        <w:jc w:val="both"/>
      </w:pPr>
    </w:p>
    <w:p w14:paraId="5FED6901" w14:textId="77777777" w:rsidR="006D50C9" w:rsidRDefault="006D50C9">
      <w:pPr>
        <w:pStyle w:val="ConsPlusNormal"/>
        <w:jc w:val="both"/>
      </w:pPr>
    </w:p>
    <w:p w14:paraId="31E24712" w14:textId="77777777" w:rsidR="006D50C9" w:rsidRDefault="00275982">
      <w:pPr>
        <w:pStyle w:val="ConsPlusNormal"/>
        <w:jc w:val="right"/>
        <w:outlineLvl w:val="1"/>
      </w:pPr>
      <w:r>
        <w:t>Приложение</w:t>
      </w:r>
    </w:p>
    <w:p w14:paraId="50CD531B" w14:textId="77777777" w:rsidR="006D50C9" w:rsidRDefault="00275982">
      <w:pPr>
        <w:pStyle w:val="ConsPlusNormal"/>
        <w:jc w:val="right"/>
      </w:pPr>
      <w:r>
        <w:t>к Правилам проведения</w:t>
      </w:r>
    </w:p>
    <w:p w14:paraId="6FFA1D47" w14:textId="77777777" w:rsidR="006D50C9" w:rsidRDefault="00275982">
      <w:pPr>
        <w:pStyle w:val="ConsPlusNormal"/>
        <w:jc w:val="right"/>
      </w:pPr>
      <w:r>
        <w:t>мониторинга заключения и реализации</w:t>
      </w:r>
    </w:p>
    <w:p w14:paraId="69423144" w14:textId="77777777" w:rsidR="006D50C9" w:rsidRDefault="00275982">
      <w:pPr>
        <w:pStyle w:val="ConsPlusNormal"/>
        <w:jc w:val="right"/>
      </w:pPr>
      <w:r>
        <w:t>заключенных концессионных соглашений,</w:t>
      </w:r>
    </w:p>
    <w:p w14:paraId="2B68DCF0" w14:textId="77777777" w:rsidR="006D50C9" w:rsidRDefault="00275982">
      <w:pPr>
        <w:pStyle w:val="ConsPlusNormal"/>
        <w:jc w:val="right"/>
      </w:pPr>
      <w:r>
        <w:t>в том числе на предмет соблюдения</w:t>
      </w:r>
    </w:p>
    <w:p w14:paraId="70F0B7DB" w14:textId="77777777" w:rsidR="006D50C9" w:rsidRDefault="00275982">
      <w:pPr>
        <w:pStyle w:val="ConsPlusNormal"/>
        <w:jc w:val="right"/>
      </w:pPr>
      <w:r>
        <w:t>сторонами концессионного соглашения</w:t>
      </w:r>
    </w:p>
    <w:p w14:paraId="5DCA3023" w14:textId="77777777" w:rsidR="006D50C9" w:rsidRDefault="00275982">
      <w:pPr>
        <w:pStyle w:val="ConsPlusNormal"/>
        <w:jc w:val="right"/>
      </w:pPr>
      <w:r>
        <w:t>взятых на себя обязательств</w:t>
      </w:r>
    </w:p>
    <w:p w14:paraId="30A597FE" w14:textId="77777777" w:rsidR="006D50C9" w:rsidRDefault="00275982">
      <w:pPr>
        <w:pStyle w:val="ConsPlusNormal"/>
        <w:jc w:val="right"/>
      </w:pPr>
      <w:r>
        <w:t>по достижению целевых показателей,</w:t>
      </w:r>
    </w:p>
    <w:p w14:paraId="5BC4A69E" w14:textId="77777777" w:rsidR="006D50C9" w:rsidRDefault="00275982">
      <w:pPr>
        <w:pStyle w:val="ConsPlusNormal"/>
        <w:jc w:val="right"/>
      </w:pPr>
      <w:r>
        <w:t>содержащихся в концессионно</w:t>
      </w:r>
      <w:r>
        <w:t>м соглашении,</w:t>
      </w:r>
    </w:p>
    <w:p w14:paraId="2238CFD8" w14:textId="77777777" w:rsidR="006D50C9" w:rsidRDefault="00275982">
      <w:pPr>
        <w:pStyle w:val="ConsPlusNormal"/>
        <w:jc w:val="right"/>
      </w:pPr>
      <w:r>
        <w:t>сроков их реализации, объема привлекаемых</w:t>
      </w:r>
    </w:p>
    <w:p w14:paraId="788A6024" w14:textId="77777777" w:rsidR="006D50C9" w:rsidRDefault="00275982">
      <w:pPr>
        <w:pStyle w:val="ConsPlusNormal"/>
        <w:jc w:val="right"/>
      </w:pPr>
      <w:r>
        <w:t>инвестиций и иных существенных</w:t>
      </w:r>
    </w:p>
    <w:p w14:paraId="6F973AA3" w14:textId="77777777" w:rsidR="006D50C9" w:rsidRDefault="00275982">
      <w:pPr>
        <w:pStyle w:val="ConsPlusNormal"/>
        <w:jc w:val="right"/>
      </w:pPr>
      <w:r>
        <w:t>условий концессионного соглашения</w:t>
      </w:r>
    </w:p>
    <w:p w14:paraId="17B17F45" w14:textId="77777777" w:rsidR="006D50C9" w:rsidRDefault="006D50C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6D50C9" w14:paraId="690F1A2C" w14:textId="77777777">
        <w:trPr>
          <w:jc w:val="center"/>
        </w:trPr>
        <w:tc>
          <w:tcPr>
            <w:tcW w:w="1020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0F6C3DE1" w14:textId="77777777" w:rsidR="006D50C9" w:rsidRDefault="002759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468EA2FA" w14:textId="77777777" w:rsidR="006D50C9" w:rsidRDefault="002759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tooltip="consultantplus://offline/ref=468AE8703875941980A85132CBCA9D19094458F09CFD67B0DAC01A06012D12ACCE9BD3576F3EF5CB320A6CFF4B9935EA7C92694DC465364E05q4J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24.0</w:t>
            </w:r>
            <w:r>
              <w:rPr>
                <w:color w:val="392C69"/>
              </w:rPr>
              <w:t>1.2019 N 31)</w:t>
            </w:r>
          </w:p>
        </w:tc>
      </w:tr>
    </w:tbl>
    <w:p w14:paraId="036C0386" w14:textId="77777777" w:rsidR="006D50C9" w:rsidRDefault="006D50C9">
      <w:pPr>
        <w:pStyle w:val="ConsPlusNormal"/>
        <w:jc w:val="both"/>
      </w:pPr>
    </w:p>
    <w:p w14:paraId="61CFD09E" w14:textId="77777777" w:rsidR="006D50C9" w:rsidRDefault="00275982">
      <w:pPr>
        <w:pStyle w:val="ConsPlusNormal"/>
        <w:jc w:val="right"/>
      </w:pPr>
      <w:r>
        <w:t>(примерная форма)</w:t>
      </w:r>
    </w:p>
    <w:p w14:paraId="7C832C4A" w14:textId="77777777" w:rsidR="006D50C9" w:rsidRDefault="006D50C9">
      <w:pPr>
        <w:pStyle w:val="ConsPlusNormal"/>
        <w:jc w:val="both"/>
      </w:pPr>
    </w:p>
    <w:p w14:paraId="4F470C7E" w14:textId="77777777" w:rsidR="006D50C9" w:rsidRDefault="00275982">
      <w:pPr>
        <w:pStyle w:val="ConsPlusNormal"/>
        <w:jc w:val="center"/>
      </w:pPr>
      <w:bookmarkStart w:id="1" w:name="Par76"/>
      <w:bookmarkEnd w:id="1"/>
      <w:r>
        <w:t>РЕЗУЛЬТАТЫ МОНИТОРИНГА</w:t>
      </w:r>
    </w:p>
    <w:p w14:paraId="73B7101E" w14:textId="77777777" w:rsidR="006D50C9" w:rsidRDefault="00275982">
      <w:pPr>
        <w:pStyle w:val="ConsPlusNormal"/>
        <w:jc w:val="center"/>
      </w:pPr>
      <w:r>
        <w:t>заключения и реализации заключенных концессионных</w:t>
      </w:r>
    </w:p>
    <w:p w14:paraId="50F240A4" w14:textId="77777777" w:rsidR="006D50C9" w:rsidRDefault="00275982">
      <w:pPr>
        <w:pStyle w:val="ConsPlusNormal"/>
        <w:jc w:val="center"/>
      </w:pPr>
      <w:r>
        <w:t>соглашений, в том числе на предмет соблюдения сторонами</w:t>
      </w:r>
    </w:p>
    <w:p w14:paraId="78A6A339" w14:textId="77777777" w:rsidR="006D50C9" w:rsidRDefault="00275982">
      <w:pPr>
        <w:pStyle w:val="ConsPlusNormal"/>
        <w:jc w:val="center"/>
      </w:pPr>
      <w:r>
        <w:t>концессионного соглашения взятых на себя обязательств</w:t>
      </w:r>
    </w:p>
    <w:p w14:paraId="2BD0C522" w14:textId="77777777" w:rsidR="006D50C9" w:rsidRDefault="00275982">
      <w:pPr>
        <w:pStyle w:val="ConsPlusNormal"/>
        <w:jc w:val="center"/>
      </w:pPr>
      <w:r>
        <w:t>по достижению целевых показателей, содержащихся</w:t>
      </w:r>
    </w:p>
    <w:p w14:paraId="032773E9" w14:textId="77777777" w:rsidR="006D50C9" w:rsidRDefault="00275982">
      <w:pPr>
        <w:pStyle w:val="ConsPlusNormal"/>
        <w:jc w:val="center"/>
      </w:pPr>
      <w:r>
        <w:t>в концессионном соглашении, сроков их реализации,</w:t>
      </w:r>
    </w:p>
    <w:p w14:paraId="1B965ADC" w14:textId="77777777" w:rsidR="006D50C9" w:rsidRDefault="00275982">
      <w:pPr>
        <w:pStyle w:val="ConsPlusNormal"/>
        <w:jc w:val="center"/>
      </w:pPr>
      <w:r>
        <w:t>объема привлекаемых инвестиций и иных существенных</w:t>
      </w:r>
    </w:p>
    <w:p w14:paraId="722859A7" w14:textId="77777777" w:rsidR="006D50C9" w:rsidRDefault="00275982">
      <w:pPr>
        <w:pStyle w:val="ConsPlusNormal"/>
        <w:jc w:val="center"/>
      </w:pPr>
      <w:r>
        <w:t>условий концессионного соглашения, за 20__ год</w:t>
      </w:r>
    </w:p>
    <w:p w14:paraId="11044133" w14:textId="77777777" w:rsidR="006D50C9" w:rsidRDefault="006D50C9">
      <w:pPr>
        <w:pStyle w:val="ConsPlusNormal"/>
        <w:jc w:val="both"/>
      </w:pPr>
    </w:p>
    <w:tbl>
      <w:tblPr>
        <w:tblW w:w="90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8505"/>
      </w:tblGrid>
      <w:tr w:rsidR="006D50C9" w14:paraId="768CF0C1" w14:textId="77777777">
        <w:tc>
          <w:tcPr>
            <w:tcW w:w="9075" w:type="dxa"/>
            <w:gridSpan w:val="2"/>
          </w:tcPr>
          <w:p w14:paraId="6B45F9CC" w14:textId="77777777" w:rsidR="006D50C9" w:rsidRDefault="00275982">
            <w:pPr>
              <w:pStyle w:val="ConsPlusNormal"/>
              <w:jc w:val="center"/>
              <w:outlineLvl w:val="2"/>
            </w:pPr>
            <w:r>
              <w:t>I. Об</w:t>
            </w:r>
            <w:r>
              <w:t>щие сведения</w:t>
            </w:r>
          </w:p>
        </w:tc>
      </w:tr>
      <w:tr w:rsidR="006D50C9" w14:paraId="176A46C9" w14:textId="77777777">
        <w:tc>
          <w:tcPr>
            <w:tcW w:w="571" w:type="dxa"/>
          </w:tcPr>
          <w:p w14:paraId="17FD20D0" w14:textId="77777777" w:rsidR="006D50C9" w:rsidRDefault="002759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4" w:type="dxa"/>
          </w:tcPr>
          <w:p w14:paraId="64E09969" w14:textId="77777777" w:rsidR="006D50C9" w:rsidRDefault="00275982">
            <w:pPr>
              <w:pStyle w:val="ConsPlusNormal"/>
            </w:pPr>
            <w:r>
              <w:t>Количество принятых решений о заключении концессионных соглашений</w:t>
            </w:r>
          </w:p>
        </w:tc>
      </w:tr>
      <w:tr w:rsidR="006D50C9" w14:paraId="42212DC0" w14:textId="77777777">
        <w:tc>
          <w:tcPr>
            <w:tcW w:w="571" w:type="dxa"/>
          </w:tcPr>
          <w:p w14:paraId="632A473D" w14:textId="77777777" w:rsidR="006D50C9" w:rsidRDefault="002759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4" w:type="dxa"/>
          </w:tcPr>
          <w:p w14:paraId="67FBCE2B" w14:textId="77777777" w:rsidR="006D50C9" w:rsidRDefault="00275982">
            <w:pPr>
              <w:pStyle w:val="ConsPlusNormal"/>
            </w:pPr>
            <w:r>
              <w:t>Количество рассмотренных предложений о заключении концессионных соглашений</w:t>
            </w:r>
          </w:p>
        </w:tc>
      </w:tr>
      <w:tr w:rsidR="006D50C9" w14:paraId="3C1C7429" w14:textId="77777777">
        <w:tc>
          <w:tcPr>
            <w:tcW w:w="571" w:type="dxa"/>
          </w:tcPr>
          <w:p w14:paraId="0DE4E855" w14:textId="77777777" w:rsidR="006D50C9" w:rsidRDefault="0027598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4" w:type="dxa"/>
          </w:tcPr>
          <w:p w14:paraId="21B1C698" w14:textId="77777777" w:rsidR="006D50C9" w:rsidRDefault="00275982">
            <w:pPr>
              <w:pStyle w:val="ConsPlusNormal"/>
            </w:pPr>
            <w:r>
              <w:t>Количество заключенных концессионных соглашений</w:t>
            </w:r>
          </w:p>
        </w:tc>
      </w:tr>
      <w:tr w:rsidR="006D50C9" w14:paraId="4FD84619" w14:textId="77777777">
        <w:tc>
          <w:tcPr>
            <w:tcW w:w="571" w:type="dxa"/>
          </w:tcPr>
          <w:p w14:paraId="2AA1128D" w14:textId="77777777" w:rsidR="006D50C9" w:rsidRDefault="0027598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04" w:type="dxa"/>
          </w:tcPr>
          <w:p w14:paraId="005173E8" w14:textId="77777777" w:rsidR="006D50C9" w:rsidRDefault="00275982">
            <w:pPr>
              <w:pStyle w:val="ConsPlusNormal"/>
            </w:pPr>
            <w:r>
              <w:t>Количество заключенных концессионных соглашений, инициаторами заключения которых выступали концессионеры</w:t>
            </w:r>
          </w:p>
        </w:tc>
      </w:tr>
      <w:tr w:rsidR="006D50C9" w14:paraId="6DB2A06D" w14:textId="77777777">
        <w:tc>
          <w:tcPr>
            <w:tcW w:w="571" w:type="dxa"/>
          </w:tcPr>
          <w:p w14:paraId="37061D7A" w14:textId="77777777" w:rsidR="006D50C9" w:rsidRDefault="0027598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04" w:type="dxa"/>
          </w:tcPr>
          <w:p w14:paraId="00A5A4DF" w14:textId="77777777" w:rsidR="006D50C9" w:rsidRDefault="00275982">
            <w:pPr>
              <w:pStyle w:val="ConsPlusNormal"/>
            </w:pPr>
            <w:r>
              <w:t xml:space="preserve">Количество концессионных соглашений на стадии проектирования объекта (объектов) концессионного </w:t>
            </w:r>
            <w:r>
              <w:t>соглашения (далее - объект)</w:t>
            </w:r>
          </w:p>
        </w:tc>
      </w:tr>
      <w:tr w:rsidR="006D50C9" w14:paraId="76096B34" w14:textId="77777777">
        <w:tc>
          <w:tcPr>
            <w:tcW w:w="571" w:type="dxa"/>
          </w:tcPr>
          <w:p w14:paraId="78C1763F" w14:textId="77777777" w:rsidR="006D50C9" w:rsidRDefault="0027598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504" w:type="dxa"/>
          </w:tcPr>
          <w:p w14:paraId="30E255FC" w14:textId="77777777" w:rsidR="006D50C9" w:rsidRDefault="00275982">
            <w:pPr>
              <w:pStyle w:val="ConsPlusNormal"/>
            </w:pPr>
            <w:r>
              <w:t>Количество концессионных соглашений на стадии строительства (реконструкции) объекта, в том числе подготовки земельного участка</w:t>
            </w:r>
          </w:p>
        </w:tc>
      </w:tr>
      <w:tr w:rsidR="006D50C9" w14:paraId="1268975F" w14:textId="77777777">
        <w:tc>
          <w:tcPr>
            <w:tcW w:w="571" w:type="dxa"/>
          </w:tcPr>
          <w:p w14:paraId="62628EBE" w14:textId="77777777" w:rsidR="006D50C9" w:rsidRDefault="0027598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504" w:type="dxa"/>
          </w:tcPr>
          <w:p w14:paraId="7A0AFBBE" w14:textId="77777777" w:rsidR="006D50C9" w:rsidRDefault="00275982">
            <w:pPr>
              <w:pStyle w:val="ConsPlusNormal"/>
            </w:pPr>
            <w:r>
              <w:t xml:space="preserve">Количество концессионных соглашений на стадии эксплуатации и (или) технического обслуживания </w:t>
            </w:r>
            <w:r>
              <w:t>объекта</w:t>
            </w:r>
          </w:p>
        </w:tc>
      </w:tr>
      <w:tr w:rsidR="006D50C9" w14:paraId="4BEE2AE4" w14:textId="77777777">
        <w:tc>
          <w:tcPr>
            <w:tcW w:w="571" w:type="dxa"/>
          </w:tcPr>
          <w:p w14:paraId="5183C7FD" w14:textId="77777777" w:rsidR="006D50C9" w:rsidRDefault="00275982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8504" w:type="dxa"/>
          </w:tcPr>
          <w:p w14:paraId="479C22C1" w14:textId="77777777" w:rsidR="006D50C9" w:rsidRDefault="00275982">
            <w:pPr>
              <w:pStyle w:val="ConsPlusNormal"/>
            </w:pPr>
            <w:r>
              <w:t>Количество исполненных концессионных соглашений</w:t>
            </w:r>
          </w:p>
        </w:tc>
      </w:tr>
      <w:tr w:rsidR="006D50C9" w14:paraId="026C38F9" w14:textId="77777777">
        <w:tc>
          <w:tcPr>
            <w:tcW w:w="571" w:type="dxa"/>
          </w:tcPr>
          <w:p w14:paraId="0AF0526F" w14:textId="77777777" w:rsidR="006D50C9" w:rsidRDefault="0027598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504" w:type="dxa"/>
          </w:tcPr>
          <w:p w14:paraId="40972B7D" w14:textId="3F34A11C" w:rsidR="006D50C9" w:rsidRDefault="00275982">
            <w:pPr>
              <w:pStyle w:val="ConsPlusNormal"/>
            </w:pPr>
            <w:r>
              <w:t xml:space="preserve">Количество заключенных концессионных соглашений в ценовых зонах теплоснабжения, определенных в соответствии с Федеральным </w:t>
            </w:r>
            <w:hyperlink r:id="rId18" w:tooltip="./01.01.2021)%0A%7BКонсультантПлюс%7D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теплоснабжении"</w:t>
            </w:r>
          </w:p>
        </w:tc>
      </w:tr>
      <w:tr w:rsidR="006D50C9" w14:paraId="7E70E23C" w14:textId="77777777">
        <w:tc>
          <w:tcPr>
            <w:tcW w:w="9075" w:type="dxa"/>
            <w:gridSpan w:val="2"/>
          </w:tcPr>
          <w:p w14:paraId="0CD264C7" w14:textId="77777777" w:rsidR="006D50C9" w:rsidRDefault="00275982">
            <w:pPr>
              <w:pStyle w:val="ConsPlusNormal"/>
              <w:jc w:val="center"/>
              <w:outlineLvl w:val="2"/>
            </w:pPr>
            <w:r>
              <w:t xml:space="preserve">II. Показатели концессионных соглашений в отраслевом разрезе </w:t>
            </w:r>
            <w:hyperlink w:anchor="Par223" w:tooltip="#Par22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D50C9" w14:paraId="19807CAD" w14:textId="77777777">
        <w:tc>
          <w:tcPr>
            <w:tcW w:w="571" w:type="dxa"/>
          </w:tcPr>
          <w:p w14:paraId="4BA4149E" w14:textId="77777777" w:rsidR="006D50C9" w:rsidRDefault="002759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4" w:type="dxa"/>
          </w:tcPr>
          <w:p w14:paraId="70B7D3A0" w14:textId="77777777" w:rsidR="006D50C9" w:rsidRDefault="00275982">
            <w:pPr>
              <w:pStyle w:val="ConsPlusNormal"/>
            </w:pPr>
            <w:r>
              <w:t>Количество принятых решен</w:t>
            </w:r>
            <w:r>
              <w:t>ий о возможности заключения концессионного соглашения на представленных в предложении о заключении концессионного соглашения условиях</w:t>
            </w:r>
          </w:p>
          <w:p w14:paraId="573EA659" w14:textId="77777777" w:rsidR="006D50C9" w:rsidRDefault="00275982">
            <w:pPr>
              <w:pStyle w:val="ConsPlusNormal"/>
            </w:pPr>
            <w:r>
              <w:t>(по отраслям)</w:t>
            </w:r>
          </w:p>
        </w:tc>
      </w:tr>
      <w:tr w:rsidR="006D50C9" w14:paraId="1BF1111D" w14:textId="77777777">
        <w:tc>
          <w:tcPr>
            <w:tcW w:w="571" w:type="dxa"/>
          </w:tcPr>
          <w:p w14:paraId="713BB23D" w14:textId="77777777" w:rsidR="006D50C9" w:rsidRDefault="002759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4" w:type="dxa"/>
          </w:tcPr>
          <w:p w14:paraId="1A31D39C" w14:textId="77777777" w:rsidR="006D50C9" w:rsidRDefault="00275982">
            <w:pPr>
              <w:pStyle w:val="ConsPlusNormal"/>
            </w:pPr>
            <w:r>
              <w:t>Количество рассмотренных предложений о заключении концессионных соглашений</w:t>
            </w:r>
          </w:p>
          <w:p w14:paraId="048FCE7C" w14:textId="77777777" w:rsidR="006D50C9" w:rsidRDefault="00275982">
            <w:pPr>
              <w:pStyle w:val="ConsPlusNormal"/>
            </w:pPr>
            <w:r>
              <w:t>(по отраслям)</w:t>
            </w:r>
          </w:p>
        </w:tc>
      </w:tr>
      <w:tr w:rsidR="006D50C9" w14:paraId="74BF8D0B" w14:textId="77777777">
        <w:tc>
          <w:tcPr>
            <w:tcW w:w="571" w:type="dxa"/>
          </w:tcPr>
          <w:p w14:paraId="0A2A4381" w14:textId="77777777" w:rsidR="006D50C9" w:rsidRDefault="0027598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4" w:type="dxa"/>
          </w:tcPr>
          <w:p w14:paraId="126C67A9" w14:textId="77777777" w:rsidR="006D50C9" w:rsidRDefault="00275982">
            <w:pPr>
              <w:pStyle w:val="ConsPlusNormal"/>
            </w:pPr>
            <w:r>
              <w:t>Количество принятых решений о возможности заключения концессионного соглашения на иных условиях, чем предложено лицом, выступившим с инициативой заключения концессионного соглашения</w:t>
            </w:r>
          </w:p>
          <w:p w14:paraId="63D16FEC" w14:textId="77777777" w:rsidR="006D50C9" w:rsidRDefault="00275982">
            <w:pPr>
              <w:pStyle w:val="ConsPlusNormal"/>
            </w:pPr>
            <w:r>
              <w:t>(по отраслям)</w:t>
            </w:r>
          </w:p>
        </w:tc>
      </w:tr>
      <w:tr w:rsidR="006D50C9" w14:paraId="2E5AA2A6" w14:textId="77777777">
        <w:tc>
          <w:tcPr>
            <w:tcW w:w="571" w:type="dxa"/>
          </w:tcPr>
          <w:p w14:paraId="7392D6CE" w14:textId="77777777" w:rsidR="006D50C9" w:rsidRDefault="0027598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04" w:type="dxa"/>
          </w:tcPr>
          <w:p w14:paraId="634787C2" w14:textId="77777777" w:rsidR="006D50C9" w:rsidRDefault="00275982">
            <w:pPr>
              <w:pStyle w:val="ConsPlusNormal"/>
            </w:pPr>
            <w:r>
              <w:t>Количество принятых решений о невозможности заключения к</w:t>
            </w:r>
            <w:r>
              <w:t>онцессионного соглашения</w:t>
            </w:r>
          </w:p>
          <w:p w14:paraId="4A2FFF1C" w14:textId="77777777" w:rsidR="006D50C9" w:rsidRDefault="00275982">
            <w:pPr>
              <w:pStyle w:val="ConsPlusNormal"/>
            </w:pPr>
            <w:r>
              <w:t>(по отраслям)</w:t>
            </w:r>
          </w:p>
        </w:tc>
      </w:tr>
      <w:tr w:rsidR="006D50C9" w14:paraId="58FC9543" w14:textId="77777777">
        <w:tc>
          <w:tcPr>
            <w:tcW w:w="571" w:type="dxa"/>
          </w:tcPr>
          <w:p w14:paraId="661E8D19" w14:textId="77777777" w:rsidR="006D50C9" w:rsidRDefault="0027598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04" w:type="dxa"/>
          </w:tcPr>
          <w:p w14:paraId="3D17ED45" w14:textId="77777777" w:rsidR="006D50C9" w:rsidRDefault="00275982">
            <w:pPr>
              <w:pStyle w:val="ConsPlusNormal"/>
            </w:pPr>
            <w:r>
              <w:t>Количество принятых решений о заключении концессионных соглашений</w:t>
            </w:r>
          </w:p>
          <w:p w14:paraId="59F64D33" w14:textId="77777777" w:rsidR="006D50C9" w:rsidRDefault="00275982">
            <w:pPr>
              <w:pStyle w:val="ConsPlusNormal"/>
            </w:pPr>
            <w:r>
              <w:t>(по отраслям)</w:t>
            </w:r>
          </w:p>
        </w:tc>
      </w:tr>
      <w:tr w:rsidR="006D50C9" w14:paraId="19E840AC" w14:textId="77777777">
        <w:tc>
          <w:tcPr>
            <w:tcW w:w="571" w:type="dxa"/>
          </w:tcPr>
          <w:p w14:paraId="6CF70F38" w14:textId="77777777" w:rsidR="006D50C9" w:rsidRDefault="0027598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504" w:type="dxa"/>
          </w:tcPr>
          <w:p w14:paraId="5D0FB60D" w14:textId="77777777" w:rsidR="006D50C9" w:rsidRDefault="00275982">
            <w:pPr>
              <w:pStyle w:val="ConsPlusNormal"/>
            </w:pPr>
            <w:r>
              <w:t>Количество объявленных конкурсов на право заключения концессионных соглашений с указанием доли закрытых конкурсов</w:t>
            </w:r>
          </w:p>
          <w:p w14:paraId="3EC80157" w14:textId="77777777" w:rsidR="006D50C9" w:rsidRDefault="00275982">
            <w:pPr>
              <w:pStyle w:val="ConsPlusNormal"/>
            </w:pPr>
            <w:r>
              <w:t>(по отраслям)</w:t>
            </w:r>
          </w:p>
        </w:tc>
      </w:tr>
      <w:tr w:rsidR="006D50C9" w14:paraId="44014FE0" w14:textId="77777777">
        <w:tc>
          <w:tcPr>
            <w:tcW w:w="571" w:type="dxa"/>
          </w:tcPr>
          <w:p w14:paraId="7E05C6B2" w14:textId="77777777" w:rsidR="006D50C9" w:rsidRDefault="0027598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504" w:type="dxa"/>
          </w:tcPr>
          <w:p w14:paraId="3EA48E0E" w14:textId="77777777" w:rsidR="006D50C9" w:rsidRDefault="00275982">
            <w:pPr>
              <w:pStyle w:val="ConsPlusNormal"/>
            </w:pPr>
            <w:r>
              <w:t>Количество несостоявшихся конкурсов (с указанием причин)</w:t>
            </w:r>
          </w:p>
          <w:p w14:paraId="49EA7E6F" w14:textId="77777777" w:rsidR="006D50C9" w:rsidRDefault="00275982">
            <w:pPr>
              <w:pStyle w:val="ConsPlusNormal"/>
            </w:pPr>
            <w:r>
              <w:t>(по отраслям)</w:t>
            </w:r>
          </w:p>
        </w:tc>
      </w:tr>
      <w:tr w:rsidR="006D50C9" w14:paraId="2E343904" w14:textId="77777777">
        <w:tc>
          <w:tcPr>
            <w:tcW w:w="571" w:type="dxa"/>
          </w:tcPr>
          <w:p w14:paraId="01621F44" w14:textId="77777777" w:rsidR="006D50C9" w:rsidRDefault="0027598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504" w:type="dxa"/>
          </w:tcPr>
          <w:p w14:paraId="2C5633D8" w14:textId="77777777" w:rsidR="006D50C9" w:rsidRDefault="00275982">
            <w:pPr>
              <w:pStyle w:val="ConsPlusNormal"/>
            </w:pPr>
            <w:r>
              <w:t>Количество конкурсов с единственным участником</w:t>
            </w:r>
          </w:p>
          <w:p w14:paraId="020FAB88" w14:textId="77777777" w:rsidR="006D50C9" w:rsidRDefault="00275982">
            <w:pPr>
              <w:pStyle w:val="ConsPlusNormal"/>
            </w:pPr>
            <w:r>
              <w:t>(по отраслям)</w:t>
            </w:r>
          </w:p>
        </w:tc>
      </w:tr>
      <w:tr w:rsidR="006D50C9" w14:paraId="7B8D3560" w14:textId="77777777">
        <w:tc>
          <w:tcPr>
            <w:tcW w:w="571" w:type="dxa"/>
          </w:tcPr>
          <w:p w14:paraId="247C1DEB" w14:textId="77777777" w:rsidR="006D50C9" w:rsidRDefault="0027598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504" w:type="dxa"/>
          </w:tcPr>
          <w:p w14:paraId="48948FD5" w14:textId="77777777" w:rsidR="006D50C9" w:rsidRDefault="00275982">
            <w:pPr>
              <w:pStyle w:val="ConsPlusNormal"/>
            </w:pPr>
            <w:r>
              <w:t>Количество конкурсов с двумя и более участниками</w:t>
            </w:r>
          </w:p>
          <w:p w14:paraId="065EBD34" w14:textId="77777777" w:rsidR="006D50C9" w:rsidRDefault="00275982">
            <w:pPr>
              <w:pStyle w:val="ConsPlusNormal"/>
            </w:pPr>
            <w:r>
              <w:t>(по отраслям)</w:t>
            </w:r>
          </w:p>
        </w:tc>
      </w:tr>
      <w:tr w:rsidR="006D50C9" w14:paraId="79EEE033" w14:textId="77777777">
        <w:tc>
          <w:tcPr>
            <w:tcW w:w="571" w:type="dxa"/>
          </w:tcPr>
          <w:p w14:paraId="73459AA2" w14:textId="77777777" w:rsidR="006D50C9" w:rsidRDefault="0027598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504" w:type="dxa"/>
          </w:tcPr>
          <w:p w14:paraId="504A354F" w14:textId="77777777" w:rsidR="006D50C9" w:rsidRDefault="00275982">
            <w:pPr>
              <w:pStyle w:val="ConsPlusNormal"/>
            </w:pPr>
            <w:r>
              <w:t>Количество заключенных концессионных соглашений</w:t>
            </w:r>
          </w:p>
          <w:p w14:paraId="49EBE64C" w14:textId="77777777" w:rsidR="006D50C9" w:rsidRDefault="00275982">
            <w:pPr>
              <w:pStyle w:val="ConsPlusNormal"/>
            </w:pPr>
            <w:r>
              <w:t>(по отраслям)</w:t>
            </w:r>
          </w:p>
        </w:tc>
      </w:tr>
      <w:tr w:rsidR="006D50C9" w14:paraId="4A531FB0" w14:textId="77777777">
        <w:tc>
          <w:tcPr>
            <w:tcW w:w="571" w:type="dxa"/>
          </w:tcPr>
          <w:p w14:paraId="5C1C08A0" w14:textId="77777777" w:rsidR="006D50C9" w:rsidRDefault="0027598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504" w:type="dxa"/>
          </w:tcPr>
          <w:p w14:paraId="3A83C4F5" w14:textId="77777777" w:rsidR="006D50C9" w:rsidRDefault="00275982">
            <w:pPr>
              <w:pStyle w:val="ConsPlusNormal"/>
            </w:pPr>
            <w:r>
              <w:t>Количество заключенных концессионных соглашений, инициаторами заключения которых выступали концессионеры</w:t>
            </w:r>
          </w:p>
          <w:p w14:paraId="6C27B4E1" w14:textId="77777777" w:rsidR="006D50C9" w:rsidRDefault="00275982">
            <w:pPr>
              <w:pStyle w:val="ConsPlusNormal"/>
            </w:pPr>
            <w:r>
              <w:t>(по отраслям)</w:t>
            </w:r>
          </w:p>
        </w:tc>
      </w:tr>
      <w:tr w:rsidR="006D50C9" w14:paraId="1BC2761B" w14:textId="77777777">
        <w:tc>
          <w:tcPr>
            <w:tcW w:w="571" w:type="dxa"/>
          </w:tcPr>
          <w:p w14:paraId="71F377D4" w14:textId="77777777" w:rsidR="006D50C9" w:rsidRDefault="0027598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504" w:type="dxa"/>
          </w:tcPr>
          <w:p w14:paraId="2448F881" w14:textId="77777777" w:rsidR="006D50C9" w:rsidRDefault="00275982">
            <w:pPr>
              <w:pStyle w:val="ConsPlusNormal"/>
            </w:pPr>
            <w:r>
              <w:t>Количество концессионных соглашений на стадии проектирования объе</w:t>
            </w:r>
            <w:r>
              <w:t>кта</w:t>
            </w:r>
          </w:p>
          <w:p w14:paraId="1E722357" w14:textId="77777777" w:rsidR="006D50C9" w:rsidRDefault="00275982">
            <w:pPr>
              <w:pStyle w:val="ConsPlusNormal"/>
            </w:pPr>
            <w:r>
              <w:t>(по отраслям)</w:t>
            </w:r>
          </w:p>
        </w:tc>
      </w:tr>
      <w:tr w:rsidR="006D50C9" w14:paraId="3EE03DCE" w14:textId="77777777">
        <w:tc>
          <w:tcPr>
            <w:tcW w:w="571" w:type="dxa"/>
          </w:tcPr>
          <w:p w14:paraId="0E39B7D0" w14:textId="77777777" w:rsidR="006D50C9" w:rsidRDefault="0027598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504" w:type="dxa"/>
          </w:tcPr>
          <w:p w14:paraId="574D5D69" w14:textId="77777777" w:rsidR="006D50C9" w:rsidRDefault="00275982">
            <w:pPr>
              <w:pStyle w:val="ConsPlusNormal"/>
            </w:pPr>
            <w:r>
              <w:t>Количество концессионных соглашений на стадии строительства (реконструкции) объекта, в том числе подготовки земельного участка</w:t>
            </w:r>
          </w:p>
          <w:p w14:paraId="4E055D7C" w14:textId="77777777" w:rsidR="006D50C9" w:rsidRDefault="00275982">
            <w:pPr>
              <w:pStyle w:val="ConsPlusNormal"/>
            </w:pPr>
            <w:r>
              <w:t>(по отраслям)</w:t>
            </w:r>
          </w:p>
        </w:tc>
      </w:tr>
      <w:tr w:rsidR="006D50C9" w14:paraId="6D60BA2C" w14:textId="77777777">
        <w:tc>
          <w:tcPr>
            <w:tcW w:w="571" w:type="dxa"/>
          </w:tcPr>
          <w:p w14:paraId="3BAFE6EC" w14:textId="77777777" w:rsidR="006D50C9" w:rsidRDefault="0027598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504" w:type="dxa"/>
          </w:tcPr>
          <w:p w14:paraId="663AB277" w14:textId="77777777" w:rsidR="006D50C9" w:rsidRDefault="00275982">
            <w:pPr>
              <w:pStyle w:val="ConsPlusNormal"/>
            </w:pPr>
            <w:r>
              <w:t>Количество концессионных соглашений на стадии эксплуатации и (или) технического обслуживания объекта</w:t>
            </w:r>
          </w:p>
          <w:p w14:paraId="74DD6B0D" w14:textId="77777777" w:rsidR="006D50C9" w:rsidRDefault="00275982">
            <w:pPr>
              <w:pStyle w:val="ConsPlusNormal"/>
            </w:pPr>
            <w:r>
              <w:t>(по отраслям)</w:t>
            </w:r>
          </w:p>
        </w:tc>
      </w:tr>
      <w:tr w:rsidR="006D50C9" w14:paraId="0CAA6684" w14:textId="77777777">
        <w:tc>
          <w:tcPr>
            <w:tcW w:w="571" w:type="dxa"/>
          </w:tcPr>
          <w:p w14:paraId="32D30BEB" w14:textId="77777777" w:rsidR="006D50C9" w:rsidRDefault="0027598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504" w:type="dxa"/>
          </w:tcPr>
          <w:p w14:paraId="657CF96E" w14:textId="77777777" w:rsidR="006D50C9" w:rsidRDefault="00275982">
            <w:pPr>
              <w:pStyle w:val="ConsPlusNormal"/>
            </w:pPr>
            <w:r>
              <w:t>Количество исполненных концессионных соглашений</w:t>
            </w:r>
          </w:p>
          <w:p w14:paraId="0679E09C" w14:textId="77777777" w:rsidR="006D50C9" w:rsidRDefault="00275982">
            <w:pPr>
              <w:pStyle w:val="ConsPlusNormal"/>
            </w:pPr>
            <w:r>
              <w:lastRenderedPageBreak/>
              <w:t>(по отраслям)</w:t>
            </w:r>
          </w:p>
        </w:tc>
      </w:tr>
      <w:tr w:rsidR="006D50C9" w14:paraId="7D9F5CF2" w14:textId="77777777">
        <w:tc>
          <w:tcPr>
            <w:tcW w:w="571" w:type="dxa"/>
          </w:tcPr>
          <w:p w14:paraId="002B7F05" w14:textId="77777777" w:rsidR="006D50C9" w:rsidRDefault="00275982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8504" w:type="dxa"/>
          </w:tcPr>
          <w:p w14:paraId="1FB4849D" w14:textId="77777777" w:rsidR="006D50C9" w:rsidRDefault="00275982">
            <w:pPr>
              <w:pStyle w:val="ConsPlusNormal"/>
            </w:pPr>
            <w:r>
              <w:t>Количество концессионных соглашений, по которым в отчетном периоде концессионерами были допущены нарушения условий концессионных соглашений</w:t>
            </w:r>
          </w:p>
          <w:p w14:paraId="6B502B70" w14:textId="77777777" w:rsidR="006D50C9" w:rsidRDefault="00275982">
            <w:pPr>
              <w:pStyle w:val="ConsPlusNormal"/>
            </w:pPr>
            <w:r>
              <w:t>(по отраслям)</w:t>
            </w:r>
          </w:p>
        </w:tc>
      </w:tr>
      <w:tr w:rsidR="006D50C9" w14:paraId="3123EF36" w14:textId="77777777">
        <w:tc>
          <w:tcPr>
            <w:tcW w:w="571" w:type="dxa"/>
          </w:tcPr>
          <w:p w14:paraId="65BDBA74" w14:textId="77777777" w:rsidR="006D50C9" w:rsidRDefault="0027598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504" w:type="dxa"/>
          </w:tcPr>
          <w:p w14:paraId="3AA6EECD" w14:textId="77777777" w:rsidR="006D50C9" w:rsidRDefault="00275982">
            <w:pPr>
              <w:pStyle w:val="ConsPlusNormal"/>
            </w:pPr>
            <w:r>
              <w:t xml:space="preserve">Количество концессионных соглашений с обязательствами по обеспечению государственной регистрации </w:t>
            </w:r>
            <w:r>
              <w:t>незарегистрированного имущества</w:t>
            </w:r>
          </w:p>
        </w:tc>
      </w:tr>
      <w:tr w:rsidR="006D50C9" w14:paraId="3B72F13D" w14:textId="77777777">
        <w:tc>
          <w:tcPr>
            <w:tcW w:w="571" w:type="dxa"/>
          </w:tcPr>
          <w:p w14:paraId="4A9CC20F" w14:textId="77777777" w:rsidR="006D50C9" w:rsidRDefault="0027598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504" w:type="dxa"/>
          </w:tcPr>
          <w:p w14:paraId="7ACD9250" w14:textId="77E1E511" w:rsidR="006D50C9" w:rsidRDefault="00275982">
            <w:pPr>
              <w:pStyle w:val="ConsPlusNormal"/>
            </w:pPr>
            <w:r>
              <w:t xml:space="preserve">Количество договоров аренды, заключенных в соответствии с </w:t>
            </w:r>
            <w:hyperlink r:id="rId19" w:tooltip="./19.12.2020)%0A%7BКонсультантПлюс%7D" w:history="1">
              <w:r>
                <w:rPr>
                  <w:color w:val="0000FF"/>
                </w:rPr>
                <w:t>частью 3 статьи 42</w:t>
              </w:r>
            </w:hyperlink>
            <w:r>
              <w:t xml:space="preserve"> Федерального закона "О концессионных соглашен</w:t>
            </w:r>
            <w:r>
              <w:t>иях"</w:t>
            </w:r>
          </w:p>
        </w:tc>
      </w:tr>
    </w:tbl>
    <w:p w14:paraId="439D7379" w14:textId="77777777" w:rsidR="006D50C9" w:rsidRDefault="006D50C9">
      <w:pPr>
        <w:pStyle w:val="ConsPlusNormal"/>
        <w:jc w:val="both"/>
      </w:pPr>
    </w:p>
    <w:p w14:paraId="0A63B949" w14:textId="77777777" w:rsidR="006D50C9" w:rsidRDefault="00275982">
      <w:pPr>
        <w:pStyle w:val="ConsPlusNormal"/>
        <w:jc w:val="center"/>
        <w:outlineLvl w:val="2"/>
      </w:pPr>
      <w:r>
        <w:t>III. Соблюдение обязательств по достижению целевых</w:t>
      </w:r>
    </w:p>
    <w:p w14:paraId="2EC7CE35" w14:textId="77777777" w:rsidR="006D50C9" w:rsidRDefault="00275982">
      <w:pPr>
        <w:pStyle w:val="ConsPlusNormal"/>
        <w:jc w:val="center"/>
      </w:pPr>
      <w:r>
        <w:t>показателей, содержащихся в концессионном соглашении,</w:t>
      </w:r>
    </w:p>
    <w:p w14:paraId="423E92EF" w14:textId="77777777" w:rsidR="006D50C9" w:rsidRDefault="00275982">
      <w:pPr>
        <w:pStyle w:val="ConsPlusNormal"/>
        <w:jc w:val="center"/>
      </w:pPr>
      <w:r>
        <w:t xml:space="preserve">в отраслевом разрезе </w:t>
      </w:r>
      <w:hyperlink w:anchor="Par223" w:tooltip="#Par223" w:history="1">
        <w:r>
          <w:rPr>
            <w:color w:val="0000FF"/>
          </w:rPr>
          <w:t>&lt;1&gt;</w:t>
        </w:r>
      </w:hyperlink>
    </w:p>
    <w:p w14:paraId="75979FD5" w14:textId="77777777" w:rsidR="006D50C9" w:rsidRDefault="006D50C9">
      <w:pPr>
        <w:pStyle w:val="ConsPlusNormal"/>
        <w:jc w:val="both"/>
      </w:pPr>
    </w:p>
    <w:tbl>
      <w:tblPr>
        <w:tblW w:w="91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6"/>
        <w:gridCol w:w="4480"/>
        <w:gridCol w:w="1814"/>
        <w:gridCol w:w="2210"/>
      </w:tblGrid>
      <w:tr w:rsidR="006D50C9" w14:paraId="527552E8" w14:textId="77777777">
        <w:tc>
          <w:tcPr>
            <w:tcW w:w="50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9362" w14:textId="77777777" w:rsidR="006D50C9" w:rsidRDefault="00275982">
            <w:pPr>
              <w:pStyle w:val="ConsPlusNormal"/>
              <w:jc w:val="center"/>
            </w:pPr>
            <w:r>
              <w:t>Целевой показатель (по отраслям)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EAC0" w14:textId="77777777" w:rsidR="006D50C9" w:rsidRDefault="00275982">
            <w:pPr>
              <w:pStyle w:val="ConsPlusNormal"/>
              <w:jc w:val="center"/>
            </w:pPr>
            <w:r>
              <w:t xml:space="preserve">Плановое значение целевого показателя </w:t>
            </w:r>
            <w:hyperlink w:anchor="Par224" w:tooltip="#Par22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77A8C" w14:textId="77777777" w:rsidR="006D50C9" w:rsidRDefault="00275982">
            <w:pPr>
              <w:pStyle w:val="ConsPlusNormal"/>
              <w:jc w:val="center"/>
            </w:pPr>
            <w:r>
              <w:t xml:space="preserve">Фактически достигнутое значение целевого показателя </w:t>
            </w:r>
            <w:hyperlink w:anchor="Par225" w:tooltip="#Par22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6D50C9" w14:paraId="5F3546E3" w14:textId="77777777">
        <w:tc>
          <w:tcPr>
            <w:tcW w:w="615" w:type="dxa"/>
            <w:tcBorders>
              <w:top w:val="single" w:sz="4" w:space="0" w:color="000000"/>
            </w:tcBorders>
          </w:tcPr>
          <w:p w14:paraId="79FA6678" w14:textId="77777777" w:rsidR="006D50C9" w:rsidRDefault="002759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80" w:type="dxa"/>
            <w:tcBorders>
              <w:top w:val="single" w:sz="4" w:space="0" w:color="000000"/>
            </w:tcBorders>
          </w:tcPr>
          <w:p w14:paraId="163A01C8" w14:textId="77777777" w:rsidR="006D50C9" w:rsidRDefault="00275982">
            <w:pPr>
              <w:pStyle w:val="ConsPlusNormal"/>
            </w:pPr>
            <w:r>
              <w:t>Срок концессионного соглашения</w:t>
            </w:r>
          </w:p>
        </w:tc>
        <w:tc>
          <w:tcPr>
            <w:tcW w:w="1814" w:type="dxa"/>
            <w:tcBorders>
              <w:top w:val="single" w:sz="4" w:space="0" w:color="000000"/>
            </w:tcBorders>
          </w:tcPr>
          <w:p w14:paraId="4A63169E" w14:textId="77777777" w:rsidR="006D50C9" w:rsidRDefault="006D50C9">
            <w:pPr>
              <w:pStyle w:val="ConsPlusNormal"/>
            </w:pPr>
          </w:p>
        </w:tc>
        <w:tc>
          <w:tcPr>
            <w:tcW w:w="2210" w:type="dxa"/>
            <w:tcBorders>
              <w:top w:val="single" w:sz="4" w:space="0" w:color="000000"/>
            </w:tcBorders>
          </w:tcPr>
          <w:p w14:paraId="566797BE" w14:textId="77777777" w:rsidR="006D50C9" w:rsidRDefault="006D50C9">
            <w:pPr>
              <w:pStyle w:val="ConsPlusNormal"/>
            </w:pPr>
          </w:p>
        </w:tc>
      </w:tr>
      <w:tr w:rsidR="006D50C9" w14:paraId="4DE7015A" w14:textId="77777777">
        <w:tc>
          <w:tcPr>
            <w:tcW w:w="615" w:type="dxa"/>
          </w:tcPr>
          <w:p w14:paraId="19ED5DC4" w14:textId="77777777" w:rsidR="006D50C9" w:rsidRDefault="002759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80" w:type="dxa"/>
          </w:tcPr>
          <w:p w14:paraId="4232DFE0" w14:textId="77777777" w:rsidR="006D50C9" w:rsidRDefault="00275982">
            <w:pPr>
              <w:pStyle w:val="ConsPlusNormal"/>
            </w:pPr>
            <w: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1814" w:type="dxa"/>
          </w:tcPr>
          <w:p w14:paraId="34C36CA4" w14:textId="77777777" w:rsidR="006D50C9" w:rsidRDefault="006D50C9">
            <w:pPr>
              <w:pStyle w:val="ConsPlusNormal"/>
            </w:pPr>
          </w:p>
        </w:tc>
        <w:tc>
          <w:tcPr>
            <w:tcW w:w="2210" w:type="dxa"/>
          </w:tcPr>
          <w:p w14:paraId="482BA85E" w14:textId="77777777" w:rsidR="006D50C9" w:rsidRDefault="006D50C9">
            <w:pPr>
              <w:pStyle w:val="ConsPlusNormal"/>
            </w:pPr>
          </w:p>
        </w:tc>
      </w:tr>
      <w:tr w:rsidR="006D50C9" w14:paraId="3F320188" w14:textId="77777777">
        <w:tc>
          <w:tcPr>
            <w:tcW w:w="615" w:type="dxa"/>
          </w:tcPr>
          <w:p w14:paraId="322BC66B" w14:textId="77777777" w:rsidR="006D50C9" w:rsidRDefault="0027598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80" w:type="dxa"/>
          </w:tcPr>
          <w:p w14:paraId="5467BFDA" w14:textId="77777777" w:rsidR="006D50C9" w:rsidRDefault="00275982">
            <w:pPr>
              <w:pStyle w:val="ConsPlusNormal"/>
            </w:pPr>
            <w:r>
              <w:t>Срок заключения концессионного соглашения (период с даты принятия решения о заключении концессионного соглаше</w:t>
            </w:r>
            <w:r>
              <w:t>ния до даты подписания концессионного соглашения сторонами концессионного соглашения)</w:t>
            </w:r>
          </w:p>
        </w:tc>
        <w:tc>
          <w:tcPr>
            <w:tcW w:w="1814" w:type="dxa"/>
          </w:tcPr>
          <w:p w14:paraId="2B37E4E4" w14:textId="77777777" w:rsidR="006D50C9" w:rsidRDefault="006D50C9">
            <w:pPr>
              <w:pStyle w:val="ConsPlusNormal"/>
            </w:pPr>
          </w:p>
        </w:tc>
        <w:tc>
          <w:tcPr>
            <w:tcW w:w="2210" w:type="dxa"/>
          </w:tcPr>
          <w:p w14:paraId="1A54B860" w14:textId="77777777" w:rsidR="006D50C9" w:rsidRDefault="006D50C9">
            <w:pPr>
              <w:pStyle w:val="ConsPlusNormal"/>
            </w:pPr>
          </w:p>
        </w:tc>
      </w:tr>
      <w:tr w:rsidR="006D50C9" w14:paraId="39550844" w14:textId="77777777">
        <w:tc>
          <w:tcPr>
            <w:tcW w:w="615" w:type="dxa"/>
          </w:tcPr>
          <w:p w14:paraId="7C71A342" w14:textId="77777777" w:rsidR="006D50C9" w:rsidRDefault="0027598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80" w:type="dxa"/>
          </w:tcPr>
          <w:p w14:paraId="2E91078D" w14:textId="77777777" w:rsidR="006D50C9" w:rsidRDefault="00275982">
            <w:pPr>
              <w:pStyle w:val="ConsPlusNormal"/>
            </w:pPr>
            <w:r>
              <w:t>Срок проектирования объекта (если предусматривается)</w:t>
            </w:r>
          </w:p>
        </w:tc>
        <w:tc>
          <w:tcPr>
            <w:tcW w:w="1814" w:type="dxa"/>
          </w:tcPr>
          <w:p w14:paraId="0CDB6758" w14:textId="77777777" w:rsidR="006D50C9" w:rsidRDefault="006D50C9">
            <w:pPr>
              <w:pStyle w:val="ConsPlusNormal"/>
            </w:pPr>
          </w:p>
        </w:tc>
        <w:tc>
          <w:tcPr>
            <w:tcW w:w="2210" w:type="dxa"/>
          </w:tcPr>
          <w:p w14:paraId="58185A82" w14:textId="77777777" w:rsidR="006D50C9" w:rsidRDefault="006D50C9">
            <w:pPr>
              <w:pStyle w:val="ConsPlusNormal"/>
            </w:pPr>
          </w:p>
        </w:tc>
      </w:tr>
      <w:tr w:rsidR="006D50C9" w14:paraId="07362A40" w14:textId="77777777">
        <w:tc>
          <w:tcPr>
            <w:tcW w:w="615" w:type="dxa"/>
          </w:tcPr>
          <w:p w14:paraId="0E2AE6C8" w14:textId="77777777" w:rsidR="006D50C9" w:rsidRDefault="0027598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80" w:type="dxa"/>
          </w:tcPr>
          <w:p w14:paraId="1EE44479" w14:textId="77777777" w:rsidR="006D50C9" w:rsidRDefault="00275982">
            <w:pPr>
              <w:pStyle w:val="ConsPlusNormal"/>
            </w:pPr>
            <w:r>
              <w:t>Срок строительства (реконструкции) объекта</w:t>
            </w:r>
          </w:p>
        </w:tc>
        <w:tc>
          <w:tcPr>
            <w:tcW w:w="1814" w:type="dxa"/>
          </w:tcPr>
          <w:p w14:paraId="3623AA2D" w14:textId="77777777" w:rsidR="006D50C9" w:rsidRDefault="006D50C9">
            <w:pPr>
              <w:pStyle w:val="ConsPlusNormal"/>
            </w:pPr>
          </w:p>
        </w:tc>
        <w:tc>
          <w:tcPr>
            <w:tcW w:w="2210" w:type="dxa"/>
          </w:tcPr>
          <w:p w14:paraId="1144607C" w14:textId="77777777" w:rsidR="006D50C9" w:rsidRDefault="006D50C9">
            <w:pPr>
              <w:pStyle w:val="ConsPlusNormal"/>
            </w:pPr>
          </w:p>
        </w:tc>
      </w:tr>
      <w:tr w:rsidR="006D50C9" w14:paraId="6285E3E8" w14:textId="77777777">
        <w:tc>
          <w:tcPr>
            <w:tcW w:w="615" w:type="dxa"/>
          </w:tcPr>
          <w:p w14:paraId="43FF8B61" w14:textId="77777777" w:rsidR="006D50C9" w:rsidRDefault="0027598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80" w:type="dxa"/>
          </w:tcPr>
          <w:p w14:paraId="3D92CF92" w14:textId="77777777" w:rsidR="006D50C9" w:rsidRDefault="00275982">
            <w:pPr>
              <w:pStyle w:val="ConsPlusNormal"/>
            </w:pPr>
            <w:r>
              <w:t>Срок эксплуатации и (или) технического обслуживания объекта</w:t>
            </w:r>
          </w:p>
        </w:tc>
        <w:tc>
          <w:tcPr>
            <w:tcW w:w="1814" w:type="dxa"/>
          </w:tcPr>
          <w:p w14:paraId="4431EAE2" w14:textId="77777777" w:rsidR="006D50C9" w:rsidRDefault="006D50C9">
            <w:pPr>
              <w:pStyle w:val="ConsPlusNormal"/>
            </w:pPr>
          </w:p>
        </w:tc>
        <w:tc>
          <w:tcPr>
            <w:tcW w:w="2210" w:type="dxa"/>
          </w:tcPr>
          <w:p w14:paraId="4A0CA795" w14:textId="77777777" w:rsidR="006D50C9" w:rsidRDefault="006D50C9">
            <w:pPr>
              <w:pStyle w:val="ConsPlusNormal"/>
            </w:pPr>
          </w:p>
        </w:tc>
      </w:tr>
      <w:tr w:rsidR="006D50C9" w14:paraId="197E1AF1" w14:textId="77777777">
        <w:tc>
          <w:tcPr>
            <w:tcW w:w="615" w:type="dxa"/>
          </w:tcPr>
          <w:p w14:paraId="458520E2" w14:textId="77777777" w:rsidR="006D50C9" w:rsidRDefault="0027598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80" w:type="dxa"/>
          </w:tcPr>
          <w:p w14:paraId="1F4B63A2" w14:textId="77777777" w:rsidR="006D50C9" w:rsidRDefault="00275982">
            <w:pPr>
              <w:pStyle w:val="ConsPlusNormal"/>
            </w:pPr>
            <w: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1814" w:type="dxa"/>
          </w:tcPr>
          <w:p w14:paraId="2A39F60D" w14:textId="77777777" w:rsidR="006D50C9" w:rsidRDefault="006D50C9">
            <w:pPr>
              <w:pStyle w:val="ConsPlusNormal"/>
            </w:pPr>
          </w:p>
        </w:tc>
        <w:tc>
          <w:tcPr>
            <w:tcW w:w="2210" w:type="dxa"/>
          </w:tcPr>
          <w:p w14:paraId="0CA10D0B" w14:textId="77777777" w:rsidR="006D50C9" w:rsidRDefault="006D50C9">
            <w:pPr>
              <w:pStyle w:val="ConsPlusNormal"/>
            </w:pPr>
          </w:p>
        </w:tc>
      </w:tr>
      <w:tr w:rsidR="006D50C9" w14:paraId="49057374" w14:textId="77777777">
        <w:tc>
          <w:tcPr>
            <w:tcW w:w="615" w:type="dxa"/>
          </w:tcPr>
          <w:p w14:paraId="15DC4F05" w14:textId="77777777" w:rsidR="006D50C9" w:rsidRDefault="0027598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80" w:type="dxa"/>
          </w:tcPr>
          <w:p w14:paraId="3FD02086" w14:textId="77777777" w:rsidR="006D50C9" w:rsidRDefault="00275982">
            <w:pPr>
              <w:pStyle w:val="ConsPlusNormal"/>
            </w:pPr>
            <w: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1814" w:type="dxa"/>
          </w:tcPr>
          <w:p w14:paraId="2E7C86E1" w14:textId="77777777" w:rsidR="006D50C9" w:rsidRDefault="006D50C9">
            <w:pPr>
              <w:pStyle w:val="ConsPlusNormal"/>
            </w:pPr>
          </w:p>
        </w:tc>
        <w:tc>
          <w:tcPr>
            <w:tcW w:w="2210" w:type="dxa"/>
          </w:tcPr>
          <w:p w14:paraId="7A4F232D" w14:textId="77777777" w:rsidR="006D50C9" w:rsidRDefault="006D50C9">
            <w:pPr>
              <w:pStyle w:val="ConsPlusNormal"/>
            </w:pPr>
          </w:p>
        </w:tc>
      </w:tr>
      <w:tr w:rsidR="006D50C9" w14:paraId="2491AE50" w14:textId="77777777">
        <w:tc>
          <w:tcPr>
            <w:tcW w:w="615" w:type="dxa"/>
          </w:tcPr>
          <w:p w14:paraId="712AF796" w14:textId="77777777" w:rsidR="006D50C9" w:rsidRDefault="0027598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480" w:type="dxa"/>
          </w:tcPr>
          <w:p w14:paraId="18693C84" w14:textId="77777777" w:rsidR="006D50C9" w:rsidRDefault="00275982">
            <w:pPr>
              <w:pStyle w:val="ConsPlusNormal"/>
            </w:pPr>
            <w: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1814" w:type="dxa"/>
          </w:tcPr>
          <w:p w14:paraId="184353B8" w14:textId="77777777" w:rsidR="006D50C9" w:rsidRDefault="006D50C9">
            <w:pPr>
              <w:pStyle w:val="ConsPlusNormal"/>
            </w:pPr>
          </w:p>
        </w:tc>
        <w:tc>
          <w:tcPr>
            <w:tcW w:w="2210" w:type="dxa"/>
          </w:tcPr>
          <w:p w14:paraId="69EF836C" w14:textId="77777777" w:rsidR="006D50C9" w:rsidRDefault="006D50C9">
            <w:pPr>
              <w:pStyle w:val="ConsPlusNormal"/>
            </w:pPr>
          </w:p>
        </w:tc>
      </w:tr>
      <w:tr w:rsidR="006D50C9" w14:paraId="058AC2D2" w14:textId="77777777">
        <w:tc>
          <w:tcPr>
            <w:tcW w:w="615" w:type="dxa"/>
          </w:tcPr>
          <w:p w14:paraId="03D8F202" w14:textId="77777777" w:rsidR="006D50C9" w:rsidRDefault="0027598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480" w:type="dxa"/>
          </w:tcPr>
          <w:p w14:paraId="34C8DA05" w14:textId="77777777" w:rsidR="006D50C9" w:rsidRDefault="00275982">
            <w:pPr>
              <w:pStyle w:val="ConsPlusNormal"/>
            </w:pPr>
            <w:r>
              <w:t xml:space="preserve">Объем финансирования эксплуатации и (или) </w:t>
            </w:r>
            <w:r>
              <w:lastRenderedPageBreak/>
              <w:t>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1814" w:type="dxa"/>
          </w:tcPr>
          <w:p w14:paraId="1860BA80" w14:textId="77777777" w:rsidR="006D50C9" w:rsidRDefault="006D50C9">
            <w:pPr>
              <w:pStyle w:val="ConsPlusNormal"/>
            </w:pPr>
          </w:p>
        </w:tc>
        <w:tc>
          <w:tcPr>
            <w:tcW w:w="2210" w:type="dxa"/>
          </w:tcPr>
          <w:p w14:paraId="51DF7B51" w14:textId="77777777" w:rsidR="006D50C9" w:rsidRDefault="006D50C9">
            <w:pPr>
              <w:pStyle w:val="ConsPlusNormal"/>
            </w:pPr>
          </w:p>
        </w:tc>
      </w:tr>
      <w:tr w:rsidR="006D50C9" w14:paraId="4FB40ACC" w14:textId="77777777">
        <w:tc>
          <w:tcPr>
            <w:tcW w:w="615" w:type="dxa"/>
          </w:tcPr>
          <w:p w14:paraId="3760B773" w14:textId="77777777" w:rsidR="006D50C9" w:rsidRDefault="0027598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480" w:type="dxa"/>
          </w:tcPr>
          <w:p w14:paraId="146A835B" w14:textId="77777777" w:rsidR="006D50C9" w:rsidRDefault="00275982">
            <w:pPr>
              <w:pStyle w:val="ConsPlusNormal"/>
            </w:pPr>
            <w:r>
              <w:t xml:space="preserve">Объем финансирования строительства (реконструкции) объекта за счет собственных </w:t>
            </w:r>
            <w:r>
              <w:t>средств концессионера</w:t>
            </w:r>
          </w:p>
        </w:tc>
        <w:tc>
          <w:tcPr>
            <w:tcW w:w="1814" w:type="dxa"/>
          </w:tcPr>
          <w:p w14:paraId="553E05F6" w14:textId="77777777" w:rsidR="006D50C9" w:rsidRDefault="006D50C9">
            <w:pPr>
              <w:pStyle w:val="ConsPlusNormal"/>
            </w:pPr>
          </w:p>
        </w:tc>
        <w:tc>
          <w:tcPr>
            <w:tcW w:w="2210" w:type="dxa"/>
          </w:tcPr>
          <w:p w14:paraId="47778848" w14:textId="77777777" w:rsidR="006D50C9" w:rsidRDefault="006D50C9">
            <w:pPr>
              <w:pStyle w:val="ConsPlusNormal"/>
            </w:pPr>
          </w:p>
        </w:tc>
      </w:tr>
      <w:tr w:rsidR="006D50C9" w14:paraId="3FC82593" w14:textId="77777777">
        <w:tc>
          <w:tcPr>
            <w:tcW w:w="615" w:type="dxa"/>
          </w:tcPr>
          <w:p w14:paraId="490F0961" w14:textId="77777777" w:rsidR="006D50C9" w:rsidRDefault="0027598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480" w:type="dxa"/>
          </w:tcPr>
          <w:p w14:paraId="60E79CD6" w14:textId="77777777" w:rsidR="006D50C9" w:rsidRDefault="00275982">
            <w:pPr>
              <w:pStyle w:val="ConsPlusNormal"/>
            </w:pPr>
            <w: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1814" w:type="dxa"/>
          </w:tcPr>
          <w:p w14:paraId="3078AC56" w14:textId="77777777" w:rsidR="006D50C9" w:rsidRDefault="006D50C9">
            <w:pPr>
              <w:pStyle w:val="ConsPlusNormal"/>
            </w:pPr>
          </w:p>
        </w:tc>
        <w:tc>
          <w:tcPr>
            <w:tcW w:w="2210" w:type="dxa"/>
          </w:tcPr>
          <w:p w14:paraId="20783CFB" w14:textId="77777777" w:rsidR="006D50C9" w:rsidRDefault="006D50C9">
            <w:pPr>
              <w:pStyle w:val="ConsPlusNormal"/>
            </w:pPr>
          </w:p>
        </w:tc>
      </w:tr>
      <w:tr w:rsidR="006D50C9" w14:paraId="6A11B37A" w14:textId="77777777">
        <w:tc>
          <w:tcPr>
            <w:tcW w:w="615" w:type="dxa"/>
          </w:tcPr>
          <w:p w14:paraId="7C5661AC" w14:textId="77777777" w:rsidR="006D50C9" w:rsidRDefault="0027598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480" w:type="dxa"/>
          </w:tcPr>
          <w:p w14:paraId="18EE0B8F" w14:textId="77777777" w:rsidR="006D50C9" w:rsidRDefault="00275982">
            <w:pPr>
              <w:pStyle w:val="ConsPlusNormal"/>
            </w:pPr>
            <w: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1814" w:type="dxa"/>
          </w:tcPr>
          <w:p w14:paraId="7F3E1B07" w14:textId="77777777" w:rsidR="006D50C9" w:rsidRDefault="006D50C9">
            <w:pPr>
              <w:pStyle w:val="ConsPlusNormal"/>
            </w:pPr>
          </w:p>
        </w:tc>
        <w:tc>
          <w:tcPr>
            <w:tcW w:w="2210" w:type="dxa"/>
          </w:tcPr>
          <w:p w14:paraId="0C9FD096" w14:textId="77777777" w:rsidR="006D50C9" w:rsidRDefault="006D50C9">
            <w:pPr>
              <w:pStyle w:val="ConsPlusNormal"/>
            </w:pPr>
          </w:p>
        </w:tc>
      </w:tr>
      <w:tr w:rsidR="006D50C9" w14:paraId="15EE5CB3" w14:textId="77777777">
        <w:tc>
          <w:tcPr>
            <w:tcW w:w="615" w:type="dxa"/>
            <w:tcBorders>
              <w:bottom w:val="single" w:sz="4" w:space="0" w:color="000000"/>
            </w:tcBorders>
          </w:tcPr>
          <w:p w14:paraId="441F36DF" w14:textId="77777777" w:rsidR="006D50C9" w:rsidRDefault="0027598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480" w:type="dxa"/>
            <w:tcBorders>
              <w:bottom w:val="single" w:sz="4" w:space="0" w:color="000000"/>
            </w:tcBorders>
          </w:tcPr>
          <w:p w14:paraId="7C88E3E5" w14:textId="77777777" w:rsidR="006D50C9" w:rsidRDefault="00275982">
            <w:pPr>
              <w:pStyle w:val="ConsPlusNormal"/>
            </w:pPr>
            <w: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</w:tcPr>
          <w:p w14:paraId="2A9BD50F" w14:textId="77777777" w:rsidR="006D50C9" w:rsidRDefault="006D50C9">
            <w:pPr>
              <w:pStyle w:val="ConsPlusNormal"/>
            </w:pPr>
          </w:p>
        </w:tc>
        <w:tc>
          <w:tcPr>
            <w:tcW w:w="2210" w:type="dxa"/>
            <w:tcBorders>
              <w:bottom w:val="single" w:sz="4" w:space="0" w:color="000000"/>
            </w:tcBorders>
          </w:tcPr>
          <w:p w14:paraId="37496682" w14:textId="77777777" w:rsidR="006D50C9" w:rsidRDefault="006D50C9">
            <w:pPr>
              <w:pStyle w:val="ConsPlusNormal"/>
            </w:pPr>
          </w:p>
        </w:tc>
      </w:tr>
    </w:tbl>
    <w:p w14:paraId="7466FFD6" w14:textId="77777777" w:rsidR="006D50C9" w:rsidRDefault="006D50C9">
      <w:pPr>
        <w:pStyle w:val="ConsPlusNormal"/>
        <w:jc w:val="both"/>
      </w:pPr>
    </w:p>
    <w:p w14:paraId="2E71B984" w14:textId="77777777" w:rsidR="006D50C9" w:rsidRDefault="00275982">
      <w:pPr>
        <w:pStyle w:val="ConsPlusNormal"/>
        <w:ind w:firstLine="540"/>
        <w:jc w:val="both"/>
      </w:pPr>
      <w:r>
        <w:t>--------------------------------</w:t>
      </w:r>
    </w:p>
    <w:p w14:paraId="5BE6D1B2" w14:textId="3D860A53" w:rsidR="006D50C9" w:rsidRDefault="00275982">
      <w:pPr>
        <w:pStyle w:val="ConsPlusNormal"/>
        <w:spacing w:before="200"/>
        <w:ind w:firstLine="540"/>
        <w:jc w:val="both"/>
      </w:pPr>
      <w:bookmarkStart w:id="2" w:name="Par223"/>
      <w:bookmarkEnd w:id="2"/>
      <w:r>
        <w:t xml:space="preserve">&lt;1&gt; В соответствии с разделением на виды объектов, предусмотренным </w:t>
      </w:r>
      <w:hyperlink r:id="rId20" w:tooltip="./19.12.2020)%0A%7BКонсультантПлюс%7D" w:history="1">
        <w:r>
          <w:rPr>
            <w:color w:val="0000FF"/>
          </w:rPr>
          <w:t>частью 1 статьи 4</w:t>
        </w:r>
      </w:hyperlink>
      <w:r>
        <w:t xml:space="preserve"> Федерального закона "О концессионных согл</w:t>
      </w:r>
      <w:r>
        <w:t>ашениях".</w:t>
      </w:r>
    </w:p>
    <w:p w14:paraId="41078436" w14:textId="77777777" w:rsidR="006D50C9" w:rsidRDefault="00275982">
      <w:pPr>
        <w:pStyle w:val="ConsPlusNormal"/>
        <w:spacing w:before="200"/>
        <w:ind w:firstLine="540"/>
        <w:jc w:val="both"/>
      </w:pPr>
      <w:bookmarkStart w:id="3" w:name="Par224"/>
      <w:bookmarkEnd w:id="3"/>
      <w:r>
        <w:t>&lt;2&gt; В зависимости от содержания концессионного соглашения указываются или плановое значение целевого показателя на отчетную дату за отчетный период, или итоговый целевой показатель, определенный концессионным соглашением.</w:t>
      </w:r>
    </w:p>
    <w:p w14:paraId="5867F0B2" w14:textId="77777777" w:rsidR="006D50C9" w:rsidRDefault="00275982">
      <w:pPr>
        <w:pStyle w:val="ConsPlusNormal"/>
        <w:spacing w:before="200"/>
        <w:ind w:firstLine="540"/>
        <w:jc w:val="both"/>
      </w:pPr>
      <w:bookmarkStart w:id="4" w:name="Par225"/>
      <w:bookmarkEnd w:id="4"/>
      <w:r>
        <w:t>&lt;3&gt; Информация указывает</w:t>
      </w:r>
      <w:r>
        <w:t>ся на отчетную дату за отчетный период.</w:t>
      </w:r>
    </w:p>
    <w:p w14:paraId="2689B7C7" w14:textId="77777777" w:rsidR="006D50C9" w:rsidRDefault="006D50C9">
      <w:pPr>
        <w:pStyle w:val="ConsPlusNormal"/>
        <w:jc w:val="both"/>
      </w:pPr>
    </w:p>
    <w:p w14:paraId="0C5C2257" w14:textId="77777777" w:rsidR="006D50C9" w:rsidRDefault="006D50C9">
      <w:pPr>
        <w:pStyle w:val="ConsPlusNormal"/>
        <w:jc w:val="both"/>
      </w:pPr>
    </w:p>
    <w:p w14:paraId="459E1D4D" w14:textId="77777777" w:rsidR="006D50C9" w:rsidRDefault="006D50C9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sectPr w:rsidR="006D50C9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EE0AF" w14:textId="77777777" w:rsidR="00275982" w:rsidRDefault="00275982">
      <w:pPr>
        <w:pStyle w:val="13"/>
        <w:spacing w:after="0" w:line="240" w:lineRule="auto"/>
      </w:pPr>
      <w:r>
        <w:separator/>
      </w:r>
    </w:p>
  </w:endnote>
  <w:endnote w:type="continuationSeparator" w:id="0">
    <w:p w14:paraId="46A69403" w14:textId="77777777" w:rsidR="00275982" w:rsidRDefault="00275982">
      <w:pPr>
        <w:pStyle w:val="1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16DC" w14:textId="77777777" w:rsidR="006D50C9" w:rsidRDefault="006D50C9">
    <w:pPr>
      <w:pStyle w:val="ConsPlusNormal"/>
      <w:pBdr>
        <w:bottom w:val="single" w:sz="12" w:space="0" w:color="000000"/>
      </w:pBdr>
      <w:jc w:val="center"/>
      <w:rPr>
        <w:sz w:val="2"/>
        <w:szCs w:val="2"/>
      </w:rPr>
    </w:pPr>
  </w:p>
  <w:tbl>
    <w:tblPr>
      <w:tblW w:w="10287" w:type="dxa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3393"/>
      <w:gridCol w:w="3499"/>
      <w:gridCol w:w="3395"/>
    </w:tblGrid>
    <w:tr w:rsidR="006D50C9" w14:paraId="0D7A7C50" w14:textId="77777777">
      <w:trPr>
        <w:trHeight w:hRule="exact" w:val="1663"/>
      </w:trPr>
      <w:tc>
        <w:tcPr>
          <w:tcW w:w="3393" w:type="dxa"/>
          <w:vAlign w:val="center"/>
        </w:tcPr>
        <w:p w14:paraId="6226C798" w14:textId="77777777" w:rsidR="006D50C9" w:rsidRDefault="00275982">
          <w:pPr>
            <w:pStyle w:val="ConsPlusNormal"/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3499" w:type="dxa"/>
          <w:vAlign w:val="center"/>
        </w:tcPr>
        <w:p w14:paraId="04C3EB9D" w14:textId="77777777" w:rsidR="006D50C9" w:rsidRDefault="00275982">
          <w:pPr>
            <w:pStyle w:val="ConsPlusNormal"/>
            <w:jc w:val="center"/>
          </w:pPr>
          <w:hyperlink r:id="rId1" w:tooltip="https://www.consultant.ru/" w:history="1">
            <w:r>
              <w:rPr>
                <w:rFonts w:ascii="Tahoma" w:hAnsi="Tahoma" w:cs="Tahoma"/>
                <w:b/>
                <w:bCs/>
                <w:color w:val="0000FF"/>
              </w:rPr>
              <w:t>www.consultant</w:t>
            </w:r>
            <w:r>
              <w:rPr>
                <w:rFonts w:ascii="Tahoma" w:hAnsi="Tahoma" w:cs="Tahoma"/>
                <w:b/>
                <w:bCs/>
                <w:color w:val="0000FF"/>
              </w:rPr>
              <w:t>.ru</w:t>
            </w:r>
          </w:hyperlink>
        </w:p>
      </w:tc>
      <w:tc>
        <w:tcPr>
          <w:tcW w:w="3395" w:type="dxa"/>
          <w:vAlign w:val="center"/>
        </w:tcPr>
        <w:p w14:paraId="6B328DE5" w14:textId="77777777" w:rsidR="006D50C9" w:rsidRDefault="00275982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 xml:space="preserve"> PAGE 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</w:rPr>
            <w:t>7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 xml:space="preserve"> NUMPAGES 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</w:rPr>
            <w:t>7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2EFFAEC1" w14:textId="77777777" w:rsidR="006D50C9" w:rsidRDefault="006D50C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61E4F" w14:textId="77777777" w:rsidR="00275982" w:rsidRDefault="00275982">
      <w:pPr>
        <w:pStyle w:val="13"/>
        <w:spacing w:after="0" w:line="240" w:lineRule="auto"/>
      </w:pPr>
      <w:r>
        <w:separator/>
      </w:r>
    </w:p>
  </w:footnote>
  <w:footnote w:type="continuationSeparator" w:id="0">
    <w:p w14:paraId="4A4FE3D3" w14:textId="77777777" w:rsidR="00275982" w:rsidRDefault="00275982">
      <w:pPr>
        <w:pStyle w:val="13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7" w:type="dxa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6D50C9" w14:paraId="330FCE52" w14:textId="77777777">
      <w:trPr>
        <w:trHeight w:hRule="exact" w:val="1683"/>
      </w:trPr>
      <w:tc>
        <w:tcPr>
          <w:tcW w:w="5554" w:type="dxa"/>
          <w:vAlign w:val="center"/>
        </w:tcPr>
        <w:p w14:paraId="700985B7" w14:textId="77777777" w:rsidR="006D50C9" w:rsidRDefault="00275982">
          <w:pPr>
            <w:pStyle w:val="ConsPlusNormal"/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04.03.2017 N 259</w:t>
          </w:r>
          <w:r>
            <w:rPr>
              <w:rFonts w:ascii="Tahoma" w:hAnsi="Tahoma" w:cs="Tahoma"/>
              <w:sz w:val="16"/>
              <w:szCs w:val="16"/>
            </w:rPr>
            <w:br/>
            <w:t>(ред. от 24.01.2019)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проведения мониторинга за...</w:t>
          </w:r>
        </w:p>
      </w:tc>
      <w:tc>
        <w:tcPr>
          <w:tcW w:w="4732" w:type="dxa"/>
          <w:vAlign w:val="center"/>
        </w:tcPr>
        <w:p w14:paraId="385BC135" w14:textId="77777777" w:rsidR="006D50C9" w:rsidRDefault="00275982">
          <w:pPr>
            <w:pStyle w:val="ConsPlusNormal"/>
            <w:jc w:val="right"/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tooltip="https://www.consultant.ru/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02.02.2021</w:t>
          </w:r>
        </w:p>
      </w:tc>
    </w:tr>
  </w:tbl>
  <w:p w14:paraId="006ADEE2" w14:textId="77777777" w:rsidR="006D50C9" w:rsidRDefault="006D50C9">
    <w:pPr>
      <w:pStyle w:val="ConsPlusNormal"/>
      <w:pBdr>
        <w:bottom w:val="single" w:sz="12" w:space="0" w:color="000000"/>
      </w:pBdr>
      <w:jc w:val="center"/>
      <w:rPr>
        <w:sz w:val="2"/>
        <w:szCs w:val="2"/>
      </w:rPr>
    </w:pPr>
  </w:p>
  <w:p w14:paraId="1EF53555" w14:textId="77777777" w:rsidR="006D50C9" w:rsidRDefault="0027598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C9"/>
    <w:rsid w:val="00275982"/>
    <w:rsid w:val="006D50C9"/>
    <w:rsid w:val="00EB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F577"/>
  <w15:docId w15:val="{5F9BD4DA-092C-48B1-9AAB-5A10FF75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Tahoma" w:hAnsi="Liberation Serif" w:cs="Noto Sans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6"/>
    <w:link w:val="a7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character" w:customStyle="1" w:styleId="a7">
    <w:name w:val="Заголовок Знак"/>
    <w:basedOn w:val="a0"/>
    <w:link w:val="a5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ac">
    <w:name w:val="Верхний колонтитул Знак"/>
    <w:basedOn w:val="a0"/>
    <w:link w:val="ad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e">
    <w:name w:val="Нижний колонтитул Знак"/>
    <w:link w:val="af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87FC76" w:themeColor="accent1" w:themeTint="67"/>
        <w:left w:val="single" w:sz="4" w:space="0" w:color="87FC76" w:themeColor="accent1" w:themeTint="67"/>
        <w:bottom w:val="single" w:sz="4" w:space="0" w:color="87FC76" w:themeColor="accent1" w:themeTint="67"/>
        <w:right w:val="single" w:sz="4" w:space="0" w:color="87FC76" w:themeColor="accent1" w:themeTint="67"/>
        <w:insideH w:val="single" w:sz="4" w:space="0" w:color="87FC76" w:themeColor="accent1" w:themeTint="67"/>
        <w:insideV w:val="single" w:sz="4" w:space="0" w:color="87FC76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52FB39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7FC76" w:themeColor="accent1" w:themeTint="67"/>
          <w:left w:val="single" w:sz="4" w:space="0" w:color="87FC76" w:themeColor="accent1" w:themeTint="67"/>
          <w:bottom w:val="single" w:sz="4" w:space="0" w:color="87FC76" w:themeColor="accent1" w:themeTint="67"/>
          <w:right w:val="single" w:sz="4" w:space="0" w:color="87FC76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76CBFC" w:themeColor="accent2" w:themeTint="67"/>
        <w:left w:val="single" w:sz="4" w:space="0" w:color="76CBFC" w:themeColor="accent2" w:themeTint="67"/>
        <w:bottom w:val="single" w:sz="4" w:space="0" w:color="76CBFC" w:themeColor="accent2" w:themeTint="67"/>
        <w:right w:val="single" w:sz="4" w:space="0" w:color="76CBFC" w:themeColor="accent2" w:themeTint="67"/>
        <w:insideH w:val="single" w:sz="4" w:space="0" w:color="76CBFC" w:themeColor="accent2" w:themeTint="67"/>
        <w:insideV w:val="single" w:sz="4" w:space="0" w:color="76CBFC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39B4FB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6CBFC" w:themeColor="accent2" w:themeTint="67"/>
          <w:left w:val="single" w:sz="4" w:space="0" w:color="76CBFC" w:themeColor="accent2" w:themeTint="67"/>
          <w:bottom w:val="single" w:sz="4" w:space="0" w:color="76CBFC" w:themeColor="accent2" w:themeTint="67"/>
          <w:right w:val="single" w:sz="4" w:space="0" w:color="76CBFC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FCA776" w:themeColor="accent3" w:themeTint="67"/>
        <w:left w:val="single" w:sz="4" w:space="0" w:color="FCA776" w:themeColor="accent3" w:themeTint="67"/>
        <w:bottom w:val="single" w:sz="4" w:space="0" w:color="FCA776" w:themeColor="accent3" w:themeTint="67"/>
        <w:right w:val="single" w:sz="4" w:space="0" w:color="FCA776" w:themeColor="accent3" w:themeTint="67"/>
        <w:insideH w:val="single" w:sz="4" w:space="0" w:color="FCA776" w:themeColor="accent3" w:themeTint="67"/>
        <w:insideV w:val="single" w:sz="4" w:space="0" w:color="FCA776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B8039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CA776" w:themeColor="accent3" w:themeTint="67"/>
          <w:left w:val="single" w:sz="4" w:space="0" w:color="FCA776" w:themeColor="accent3" w:themeTint="67"/>
          <w:bottom w:val="single" w:sz="4" w:space="0" w:color="FCA776" w:themeColor="accent3" w:themeTint="67"/>
          <w:right w:val="single" w:sz="4" w:space="0" w:color="FCA776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EA76FC" w:themeColor="accent4" w:themeTint="67"/>
        <w:left w:val="single" w:sz="4" w:space="0" w:color="EA76FC" w:themeColor="accent4" w:themeTint="67"/>
        <w:bottom w:val="single" w:sz="4" w:space="0" w:color="EA76FC" w:themeColor="accent4" w:themeTint="67"/>
        <w:right w:val="single" w:sz="4" w:space="0" w:color="EA76FC" w:themeColor="accent4" w:themeTint="67"/>
        <w:insideH w:val="single" w:sz="4" w:space="0" w:color="EA76FC" w:themeColor="accent4" w:themeTint="67"/>
        <w:insideV w:val="single" w:sz="4" w:space="0" w:color="EA76FC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139FB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A76FC" w:themeColor="accent4" w:themeTint="67"/>
          <w:left w:val="single" w:sz="4" w:space="0" w:color="EA76FC" w:themeColor="accent4" w:themeTint="67"/>
          <w:bottom w:val="single" w:sz="4" w:space="0" w:color="EA76FC" w:themeColor="accent4" w:themeTint="67"/>
          <w:right w:val="single" w:sz="4" w:space="0" w:color="EA76FC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FFE282" w:themeColor="accent5" w:themeTint="67"/>
        <w:left w:val="single" w:sz="4" w:space="0" w:color="FFE282" w:themeColor="accent5" w:themeTint="67"/>
        <w:bottom w:val="single" w:sz="4" w:space="0" w:color="FFE282" w:themeColor="accent5" w:themeTint="67"/>
        <w:right w:val="single" w:sz="4" w:space="0" w:color="FFE282" w:themeColor="accent5" w:themeTint="67"/>
        <w:insideH w:val="single" w:sz="4" w:space="0" w:color="FFE282" w:themeColor="accent5" w:themeTint="67"/>
        <w:insideV w:val="single" w:sz="4" w:space="0" w:color="FFE282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54A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282" w:themeColor="accent5" w:themeTint="67"/>
          <w:left w:val="single" w:sz="4" w:space="0" w:color="FFE282" w:themeColor="accent5" w:themeTint="67"/>
          <w:bottom w:val="single" w:sz="4" w:space="0" w:color="FFE282" w:themeColor="accent5" w:themeTint="67"/>
          <w:right w:val="single" w:sz="4" w:space="0" w:color="FFE282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09D9C" w:themeColor="accent6" w:themeTint="67"/>
        <w:left w:val="single" w:sz="4" w:space="0" w:color="F09D9C" w:themeColor="accent6" w:themeTint="67"/>
        <w:bottom w:val="single" w:sz="4" w:space="0" w:color="F09D9C" w:themeColor="accent6" w:themeTint="67"/>
        <w:right w:val="single" w:sz="4" w:space="0" w:color="F09D9C" w:themeColor="accent6" w:themeTint="67"/>
        <w:insideH w:val="single" w:sz="4" w:space="0" w:color="F09D9C" w:themeColor="accent6" w:themeTint="67"/>
        <w:insideV w:val="single" w:sz="4" w:space="0" w:color="F09D9C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9727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09D9C" w:themeColor="accent6" w:themeTint="67"/>
          <w:left w:val="single" w:sz="4" w:space="0" w:color="F09D9C" w:themeColor="accent6" w:themeTint="67"/>
          <w:bottom w:val="single" w:sz="4" w:space="0" w:color="F09D9C" w:themeColor="accent6" w:themeTint="67"/>
          <w:right w:val="single" w:sz="4" w:space="0" w:color="F09D9C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1BBE03" w:themeColor="accent1" w:themeTint="EA"/>
        <w:insideH w:val="single" w:sz="4" w:space="0" w:color="1BBE03" w:themeColor="accent1" w:themeTint="EA"/>
        <w:insideV w:val="single" w:sz="4" w:space="0" w:color="1BBE03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1BBE03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1BBE03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2FDB9" w:themeColor="accent1" w:themeTint="34" w:fill="C2FDB9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2FDB9" w:themeColor="accent1" w:themeTint="34" w:fill="C2FDB9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36B3FB" w:themeColor="accent2" w:themeTint="97"/>
        <w:insideH w:val="single" w:sz="4" w:space="0" w:color="36B3FB" w:themeColor="accent2" w:themeTint="97"/>
        <w:insideV w:val="single" w:sz="4" w:space="0" w:color="36B3FB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36B3FB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36B3FB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CE6FD" w:themeColor="accent2" w:themeTint="32" w:fill="BCE6FD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CE6FD" w:themeColor="accent2" w:themeTint="32" w:fill="BCE6FD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A43E03" w:themeColor="accent3" w:themeTint="FE"/>
        <w:insideH w:val="single" w:sz="4" w:space="0" w:color="A43E03" w:themeColor="accent3" w:themeTint="FE"/>
        <w:insideV w:val="single" w:sz="4" w:space="0" w:color="A43E03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43E03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43E03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D2B9" w:themeColor="accent3" w:themeTint="34" w:fill="FDD2B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D2B9" w:themeColor="accent3" w:themeTint="34" w:fill="FDD2B9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E032FB" w:themeColor="accent4" w:themeTint="9A"/>
        <w:insideH w:val="single" w:sz="4" w:space="0" w:color="E032FB" w:themeColor="accent4" w:themeTint="9A"/>
        <w:insideV w:val="single" w:sz="4" w:space="0" w:color="E032FB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032FB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032FB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4B9FD" w:themeColor="accent4" w:themeTint="34" w:fill="F4B9FD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4B9FD" w:themeColor="accent4" w:themeTint="34" w:fill="F4B9FD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C99C00" w:themeColor="accent5"/>
        <w:insideH w:val="single" w:sz="4" w:space="0" w:color="C99C00" w:themeColor="accent5"/>
        <w:insideV w:val="single" w:sz="4" w:space="0" w:color="C99C00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99C00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99C00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0BF" w:themeColor="accent5" w:themeTint="34" w:fill="FFF0B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0BF" w:themeColor="accent5" w:themeTint="34" w:fill="FFF0BF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C9211E" w:themeColor="accent6"/>
        <w:insideH w:val="single" w:sz="4" w:space="0" w:color="C9211E" w:themeColor="accent6"/>
        <w:insideV w:val="single" w:sz="4" w:space="0" w:color="C9211E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9211E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9211E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7CDCD" w:themeColor="accent6" w:themeTint="34" w:fill="F7CDCD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7CDCD" w:themeColor="accent6" w:themeTint="34" w:fill="F7CDCD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1BBE03" w:themeColor="accent1" w:themeTint="EA"/>
        <w:insideH w:val="single" w:sz="4" w:space="0" w:color="1BBE03" w:themeColor="accent1" w:themeTint="EA"/>
        <w:insideV w:val="single" w:sz="4" w:space="0" w:color="1BBE03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2FDB9" w:themeColor="accent1" w:themeTint="34" w:fill="C2FDB9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2FDB9" w:themeColor="accent1" w:themeTint="34" w:fill="C2FDB9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36B3FB" w:themeColor="accent2" w:themeTint="97"/>
        <w:insideH w:val="single" w:sz="4" w:space="0" w:color="36B3FB" w:themeColor="accent2" w:themeTint="97"/>
        <w:insideV w:val="single" w:sz="4" w:space="0" w:color="36B3FB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BCE6FD" w:themeColor="accent2" w:themeTint="32" w:fill="BCE6FD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CE6FD" w:themeColor="accent2" w:themeTint="32" w:fill="BCE6FD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A43E03" w:themeColor="accent3" w:themeTint="FE"/>
        <w:insideH w:val="single" w:sz="4" w:space="0" w:color="A43E03" w:themeColor="accent3" w:themeTint="FE"/>
        <w:insideV w:val="single" w:sz="4" w:space="0" w:color="A43E03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D2B9" w:themeColor="accent3" w:themeTint="34" w:fill="FDD2B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D2B9" w:themeColor="accent3" w:themeTint="34" w:fill="FDD2B9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E032FB" w:themeColor="accent4" w:themeTint="9A"/>
        <w:insideH w:val="single" w:sz="4" w:space="0" w:color="E032FB" w:themeColor="accent4" w:themeTint="9A"/>
        <w:insideV w:val="single" w:sz="4" w:space="0" w:color="E032FB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4B9FD" w:themeColor="accent4" w:themeTint="34" w:fill="F4B9FD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4B9FD" w:themeColor="accent4" w:themeTint="34" w:fill="F4B9FD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C99C00" w:themeColor="accent5"/>
        <w:insideH w:val="single" w:sz="4" w:space="0" w:color="C99C00" w:themeColor="accent5"/>
        <w:insideV w:val="single" w:sz="4" w:space="0" w:color="C99C00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0BF" w:themeColor="accent5" w:themeTint="34" w:fill="FFF0B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0BF" w:themeColor="accent5" w:themeTint="34" w:fill="FFF0BF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C9211E" w:themeColor="accent6"/>
        <w:insideH w:val="single" w:sz="4" w:space="0" w:color="C9211E" w:themeColor="accent6"/>
        <w:insideV w:val="single" w:sz="4" w:space="0" w:color="C9211E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7CDCD" w:themeColor="accent6" w:themeTint="34" w:fill="F7CDCD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7CDCD" w:themeColor="accent6" w:themeTint="34" w:fill="F7CDCD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58FB40" w:themeColor="accent1" w:themeTint="90"/>
        <w:left w:val="single" w:sz="4" w:space="0" w:color="58FB40" w:themeColor="accent1" w:themeTint="90"/>
        <w:bottom w:val="single" w:sz="4" w:space="0" w:color="58FB40" w:themeColor="accent1" w:themeTint="90"/>
        <w:right w:val="single" w:sz="4" w:space="0" w:color="58FB40" w:themeColor="accent1" w:themeTint="90"/>
        <w:insideH w:val="single" w:sz="4" w:space="0" w:color="58FB40" w:themeColor="accent1" w:themeTint="90"/>
        <w:insideV w:val="single" w:sz="4" w:space="0" w:color="58FB40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1BBE03" w:themeColor="accent1" w:themeTint="EA"/>
          <w:left w:val="single" w:sz="4" w:space="0" w:color="1BBE03" w:themeColor="accent1" w:themeTint="EA"/>
          <w:bottom w:val="single" w:sz="4" w:space="0" w:color="1BBE03" w:themeColor="accent1" w:themeTint="EA"/>
          <w:right w:val="single" w:sz="4" w:space="0" w:color="1BBE03" w:themeColor="accent1" w:themeTint="EA"/>
        </w:tcBorders>
        <w:shd w:val="clear" w:color="1BBE03" w:themeColor="accent1" w:themeTint="EA" w:fill="1BBE03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1BBE03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4FDBC" w:themeColor="accent1" w:themeTint="32" w:fill="C4FDBC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4FDBC" w:themeColor="accent1" w:themeTint="32" w:fill="C4FDBC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40B7FB" w:themeColor="accent2" w:themeTint="90"/>
        <w:left w:val="single" w:sz="4" w:space="0" w:color="40B7FB" w:themeColor="accent2" w:themeTint="90"/>
        <w:bottom w:val="single" w:sz="4" w:space="0" w:color="40B7FB" w:themeColor="accent2" w:themeTint="90"/>
        <w:right w:val="single" w:sz="4" w:space="0" w:color="40B7FB" w:themeColor="accent2" w:themeTint="90"/>
        <w:insideH w:val="single" w:sz="4" w:space="0" w:color="40B7FB" w:themeColor="accent2" w:themeTint="90"/>
        <w:insideV w:val="single" w:sz="4" w:space="0" w:color="40B7FB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36B3FB" w:themeColor="accent2" w:themeTint="97"/>
          <w:left w:val="single" w:sz="4" w:space="0" w:color="36B3FB" w:themeColor="accent2" w:themeTint="97"/>
          <w:bottom w:val="single" w:sz="4" w:space="0" w:color="36B3FB" w:themeColor="accent2" w:themeTint="97"/>
          <w:right w:val="single" w:sz="4" w:space="0" w:color="36B3FB" w:themeColor="accent2" w:themeTint="97"/>
        </w:tcBorders>
        <w:shd w:val="clear" w:color="36B3FB" w:themeColor="accent2" w:themeTint="97" w:fill="36B3FB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36B3FB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CE6FD" w:themeColor="accent2" w:themeTint="32" w:fill="BCE6FD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CE6FD" w:themeColor="accent2" w:themeTint="32" w:fill="BCE6FD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FB8540" w:themeColor="accent3" w:themeTint="90"/>
        <w:left w:val="single" w:sz="4" w:space="0" w:color="FB8540" w:themeColor="accent3" w:themeTint="90"/>
        <w:bottom w:val="single" w:sz="4" w:space="0" w:color="FB8540" w:themeColor="accent3" w:themeTint="90"/>
        <w:right w:val="single" w:sz="4" w:space="0" w:color="FB8540" w:themeColor="accent3" w:themeTint="90"/>
        <w:insideH w:val="single" w:sz="4" w:space="0" w:color="FB8540" w:themeColor="accent3" w:themeTint="90"/>
        <w:insideV w:val="single" w:sz="4" w:space="0" w:color="FB8540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43E03" w:themeColor="accent3" w:themeTint="FE"/>
          <w:left w:val="single" w:sz="4" w:space="0" w:color="A43E03" w:themeColor="accent3" w:themeTint="FE"/>
          <w:bottom w:val="single" w:sz="4" w:space="0" w:color="A43E03" w:themeColor="accent3" w:themeTint="FE"/>
          <w:right w:val="single" w:sz="4" w:space="0" w:color="A43E03" w:themeColor="accent3" w:themeTint="FE"/>
        </w:tcBorders>
        <w:shd w:val="clear" w:color="A43E03" w:themeColor="accent3" w:themeTint="FE" w:fill="A43E03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43E03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D2B9" w:themeColor="accent3" w:themeTint="34" w:fill="FDD2B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D2B9" w:themeColor="accent3" w:themeTint="34" w:fill="FDD2B9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E240FB" w:themeColor="accent4" w:themeTint="90"/>
        <w:left w:val="single" w:sz="4" w:space="0" w:color="E240FB" w:themeColor="accent4" w:themeTint="90"/>
        <w:bottom w:val="single" w:sz="4" w:space="0" w:color="E240FB" w:themeColor="accent4" w:themeTint="90"/>
        <w:right w:val="single" w:sz="4" w:space="0" w:color="E240FB" w:themeColor="accent4" w:themeTint="90"/>
        <w:insideH w:val="single" w:sz="4" w:space="0" w:color="E240FB" w:themeColor="accent4" w:themeTint="90"/>
        <w:insideV w:val="single" w:sz="4" w:space="0" w:color="E240FB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E032FB" w:themeColor="accent4" w:themeTint="9A"/>
          <w:left w:val="single" w:sz="4" w:space="0" w:color="E032FB" w:themeColor="accent4" w:themeTint="9A"/>
          <w:bottom w:val="single" w:sz="4" w:space="0" w:color="E032FB" w:themeColor="accent4" w:themeTint="9A"/>
          <w:right w:val="single" w:sz="4" w:space="0" w:color="E032FB" w:themeColor="accent4" w:themeTint="9A"/>
        </w:tcBorders>
        <w:shd w:val="clear" w:color="E032FB" w:themeColor="accent4" w:themeTint="9A" w:fill="E032FB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E032FB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4B9FD" w:themeColor="accent4" w:themeTint="34" w:fill="F4B9FD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4B9FD" w:themeColor="accent4" w:themeTint="34" w:fill="F4B9FD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FFD750" w:themeColor="accent5" w:themeTint="90"/>
        <w:left w:val="single" w:sz="4" w:space="0" w:color="FFD750" w:themeColor="accent5" w:themeTint="90"/>
        <w:bottom w:val="single" w:sz="4" w:space="0" w:color="FFD750" w:themeColor="accent5" w:themeTint="90"/>
        <w:right w:val="single" w:sz="4" w:space="0" w:color="FFD750" w:themeColor="accent5" w:themeTint="90"/>
        <w:insideH w:val="single" w:sz="4" w:space="0" w:color="FFD750" w:themeColor="accent5" w:themeTint="90"/>
        <w:insideV w:val="single" w:sz="4" w:space="0" w:color="FFD750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C99C00" w:themeColor="accent5"/>
          <w:left w:val="single" w:sz="4" w:space="0" w:color="C99C00" w:themeColor="accent5"/>
          <w:bottom w:val="single" w:sz="4" w:space="0" w:color="C99C00" w:themeColor="accent5"/>
          <w:right w:val="single" w:sz="4" w:space="0" w:color="C99C00" w:themeColor="accent5"/>
        </w:tcBorders>
        <w:shd w:val="clear" w:color="C99C00" w:themeColor="accent5" w:fill="C99C00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C99C00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0BF" w:themeColor="accent5" w:themeTint="34" w:fill="FFF0B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0BF" w:themeColor="accent5" w:themeTint="34" w:fill="FFF0BF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EA7775" w:themeColor="accent6" w:themeTint="90"/>
        <w:left w:val="single" w:sz="4" w:space="0" w:color="EA7775" w:themeColor="accent6" w:themeTint="90"/>
        <w:bottom w:val="single" w:sz="4" w:space="0" w:color="EA7775" w:themeColor="accent6" w:themeTint="90"/>
        <w:right w:val="single" w:sz="4" w:space="0" w:color="EA7775" w:themeColor="accent6" w:themeTint="90"/>
        <w:insideH w:val="single" w:sz="4" w:space="0" w:color="EA7775" w:themeColor="accent6" w:themeTint="90"/>
        <w:insideV w:val="single" w:sz="4" w:space="0" w:color="EA7775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C9211E" w:themeColor="accent6"/>
          <w:left w:val="single" w:sz="4" w:space="0" w:color="C9211E" w:themeColor="accent6"/>
          <w:bottom w:val="single" w:sz="4" w:space="0" w:color="C9211E" w:themeColor="accent6"/>
          <w:right w:val="single" w:sz="4" w:space="0" w:color="C9211E" w:themeColor="accent6"/>
        </w:tcBorders>
        <w:shd w:val="clear" w:color="C9211E" w:themeColor="accent6" w:fill="C9211E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C9211E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7CDCD" w:themeColor="accent6" w:themeTint="34" w:fill="F7CDCD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7CDCD" w:themeColor="accent6" w:themeTint="34" w:fill="F7CDCD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C2FDB9" w:themeColor="accent1" w:themeTint="34" w:fill="C2FDB9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8A303" w:themeColor="accent1" w:fill="18A303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18A303" w:themeColor="accent1" w:fill="18A303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18A303" w:themeColor="accent1" w:fill="18A303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18A303" w:themeColor="accent1" w:fill="18A303" w:themeFill="accent1"/>
      </w:tcPr>
    </w:tblStylePr>
    <w:tblStylePr w:type="band1Vert">
      <w:tblPr/>
      <w:tcPr>
        <w:shd w:val="clear" w:color="77FC63" w:themeColor="accent1" w:themeTint="75" w:fill="77FC63" w:themeFill="accent1" w:themeFillTint="75"/>
      </w:tcPr>
    </w:tblStylePr>
    <w:tblStylePr w:type="band1Horz">
      <w:tblPr/>
      <w:tcPr>
        <w:shd w:val="clear" w:color="77FC63" w:themeColor="accent1" w:themeTint="75" w:fill="77FC63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CE6FD" w:themeColor="accent2" w:themeTint="32" w:fill="BCE6FD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369A3" w:themeColor="accent2" w:fill="0369A3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369A3" w:themeColor="accent2" w:fill="0369A3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369A3" w:themeColor="accent2" w:fill="0369A3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369A3" w:themeColor="accent2" w:fill="0369A3" w:themeFill="accent2"/>
      </w:tcPr>
    </w:tblStylePr>
    <w:tblStylePr w:type="band1Vert">
      <w:tblPr/>
      <w:tcPr>
        <w:shd w:val="clear" w:color="63C4FC" w:themeColor="accent2" w:themeTint="75" w:fill="63C4FC" w:themeFill="accent2" w:themeFillTint="75"/>
      </w:tcPr>
    </w:tblStylePr>
    <w:tblStylePr w:type="band1Horz">
      <w:tblPr/>
      <w:tcPr>
        <w:shd w:val="clear" w:color="63C4FC" w:themeColor="accent2" w:themeTint="75" w:fill="63C4FC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D2B9" w:themeColor="accent3" w:themeTint="34" w:fill="FDD2B9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33E03" w:themeColor="accent3" w:fill="A33E03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33E03" w:themeColor="accent3" w:fill="A33E03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33E03" w:themeColor="accent3" w:fill="A33E03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33E03" w:themeColor="accent3" w:fill="A33E03" w:themeFill="accent3"/>
      </w:tcPr>
    </w:tblStylePr>
    <w:tblStylePr w:type="band1Vert">
      <w:tblPr/>
      <w:tcPr>
        <w:shd w:val="clear" w:color="FC9B63" w:themeColor="accent3" w:themeTint="75" w:fill="FC9B63" w:themeFill="accent3" w:themeFillTint="75"/>
      </w:tcPr>
    </w:tblStylePr>
    <w:tblStylePr w:type="band1Horz">
      <w:tblPr/>
      <w:tcPr>
        <w:shd w:val="clear" w:color="FC9B63" w:themeColor="accent3" w:themeTint="75" w:fill="FC9B63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4B9FD" w:themeColor="accent4" w:themeTint="34" w:fill="F4B9FD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E03A3" w:themeColor="accent4" w:fill="8E03A3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E03A3" w:themeColor="accent4" w:fill="8E03A3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E03A3" w:themeColor="accent4" w:fill="8E03A3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E03A3" w:themeColor="accent4" w:fill="8E03A3" w:themeFill="accent4"/>
      </w:tcPr>
    </w:tblStylePr>
    <w:tblStylePr w:type="band1Vert">
      <w:tblPr/>
      <w:tcPr>
        <w:shd w:val="clear" w:color="E763FC" w:themeColor="accent4" w:themeTint="75" w:fill="E763FC" w:themeFill="accent4" w:themeFillTint="75"/>
      </w:tcPr>
    </w:tblStylePr>
    <w:tblStylePr w:type="band1Horz">
      <w:tblPr/>
      <w:tcPr>
        <w:shd w:val="clear" w:color="E763FC" w:themeColor="accent4" w:themeTint="75" w:fill="E763FC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0BF" w:themeColor="accent5" w:themeTint="34" w:fill="FFF0BF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9C00" w:themeColor="accent5" w:fill="C99C00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99C00" w:themeColor="accent5" w:fill="C99C00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99C00" w:themeColor="accent5" w:fill="C99C00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99C00" w:themeColor="accent5" w:fill="C99C00" w:themeFill="accent5"/>
      </w:tcPr>
    </w:tblStylePr>
    <w:tblStylePr w:type="band1Vert">
      <w:tblPr/>
      <w:tcPr>
        <w:shd w:val="clear" w:color="FFDE71" w:themeColor="accent5" w:themeTint="75" w:fill="FFDE71" w:themeFill="accent5" w:themeFillTint="75"/>
      </w:tcPr>
    </w:tblStylePr>
    <w:tblStylePr w:type="band1Horz">
      <w:tblPr/>
      <w:tcPr>
        <w:shd w:val="clear" w:color="FFDE71" w:themeColor="accent5" w:themeTint="75" w:fill="FFDE71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7CDCD" w:themeColor="accent6" w:themeTint="34" w:fill="F7CDCD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211E" w:themeColor="accent6" w:fill="C9211E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9211E" w:themeColor="accent6" w:fill="C9211E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9211E" w:themeColor="accent6" w:fill="C9211E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9211E" w:themeColor="accent6" w:fill="C9211E" w:themeFill="accent6"/>
      </w:tcPr>
    </w:tblStylePr>
    <w:tblStylePr w:type="band1Vert">
      <w:tblPr/>
      <w:tcPr>
        <w:shd w:val="clear" w:color="EE908F" w:themeColor="accent6" w:themeTint="75" w:fill="EE908F" w:themeFill="accent6" w:themeFillTint="75"/>
      </w:tcPr>
    </w:tblStylePr>
    <w:tblStylePr w:type="band1Horz">
      <w:tblPr/>
      <w:tcPr>
        <w:shd w:val="clear" w:color="EE908F" w:themeColor="accent6" w:themeTint="75" w:fill="EE908F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6AFC55" w:themeColor="accent1" w:themeTint="80"/>
        <w:left w:val="single" w:sz="4" w:space="0" w:color="6AFC55" w:themeColor="accent1" w:themeTint="80"/>
        <w:bottom w:val="single" w:sz="4" w:space="0" w:color="6AFC55" w:themeColor="accent1" w:themeTint="80"/>
        <w:right w:val="single" w:sz="4" w:space="0" w:color="6AFC55" w:themeColor="accent1" w:themeTint="80"/>
        <w:insideH w:val="single" w:sz="4" w:space="0" w:color="6AFC55" w:themeColor="accent1" w:themeTint="80"/>
        <w:insideV w:val="single" w:sz="4" w:space="0" w:color="6AFC55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6AFC55" w:themeColor="accent1" w:themeTint="80" w:themeShade="95"/>
      </w:rPr>
      <w:tblPr/>
      <w:tcPr>
        <w:tcBorders>
          <w:bottom w:val="single" w:sz="12" w:space="0" w:color="6AFC55" w:themeColor="accent1" w:themeTint="80"/>
        </w:tcBorders>
      </w:tcPr>
    </w:tblStylePr>
    <w:tblStylePr w:type="lastRow">
      <w:rPr>
        <w:b/>
        <w:color w:val="6AFC55" w:themeColor="accent1" w:themeTint="80" w:themeShade="95"/>
      </w:rPr>
    </w:tblStylePr>
    <w:tblStylePr w:type="firstCol">
      <w:rPr>
        <w:b/>
        <w:color w:val="6AFC55" w:themeColor="accent1" w:themeTint="80" w:themeShade="95"/>
      </w:rPr>
    </w:tblStylePr>
    <w:tblStylePr w:type="lastCol">
      <w:rPr>
        <w:b/>
        <w:color w:val="6AFC55" w:themeColor="accent1" w:themeTint="80" w:themeShade="95"/>
      </w:rPr>
    </w:tblStylePr>
    <w:tblStylePr w:type="band1Vert">
      <w:tblPr/>
      <w:tcPr>
        <w:shd w:val="clear" w:color="C2FDB9" w:themeColor="accent1" w:themeTint="34" w:fill="C2FDB9" w:themeFill="accent1" w:themeFillTint="34"/>
      </w:tcPr>
    </w:tblStylePr>
    <w:tblStylePr w:type="band1Horz">
      <w:rPr>
        <w:rFonts w:ascii="Arial" w:hAnsi="Arial"/>
        <w:color w:val="6AFC55" w:themeColor="accent1" w:themeTint="80" w:themeShade="95"/>
        <w:sz w:val="22"/>
      </w:rPr>
      <w:tblPr/>
      <w:tcPr>
        <w:shd w:val="clear" w:color="C2FDB9" w:themeColor="accent1" w:themeTint="34" w:fill="C2FDB9" w:themeFill="accent1" w:themeFillTint="34"/>
      </w:tcPr>
    </w:tblStylePr>
    <w:tblStylePr w:type="band2Horz">
      <w:rPr>
        <w:rFonts w:ascii="Arial" w:hAnsi="Arial"/>
        <w:color w:val="6AFC55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36B3FB" w:themeColor="accent2" w:themeTint="97"/>
        <w:left w:val="single" w:sz="4" w:space="0" w:color="36B3FB" w:themeColor="accent2" w:themeTint="97"/>
        <w:bottom w:val="single" w:sz="4" w:space="0" w:color="36B3FB" w:themeColor="accent2" w:themeTint="97"/>
        <w:right w:val="single" w:sz="4" w:space="0" w:color="36B3FB" w:themeColor="accent2" w:themeTint="97"/>
        <w:insideH w:val="single" w:sz="4" w:space="0" w:color="36B3FB" w:themeColor="accent2" w:themeTint="97"/>
        <w:insideV w:val="single" w:sz="4" w:space="0" w:color="36B3FB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36B3FB" w:themeColor="accent2" w:themeTint="97" w:themeShade="95"/>
      </w:rPr>
      <w:tblPr/>
      <w:tcPr>
        <w:tcBorders>
          <w:bottom w:val="single" w:sz="12" w:space="0" w:color="36B3FB" w:themeColor="accent2" w:themeTint="97"/>
        </w:tcBorders>
      </w:tcPr>
    </w:tblStylePr>
    <w:tblStylePr w:type="lastRow">
      <w:rPr>
        <w:b/>
        <w:color w:val="36B3FB" w:themeColor="accent2" w:themeTint="97" w:themeShade="95"/>
      </w:rPr>
    </w:tblStylePr>
    <w:tblStylePr w:type="firstCol">
      <w:rPr>
        <w:b/>
        <w:color w:val="36B3FB" w:themeColor="accent2" w:themeTint="97" w:themeShade="95"/>
      </w:rPr>
    </w:tblStylePr>
    <w:tblStylePr w:type="lastCol">
      <w:rPr>
        <w:b/>
        <w:color w:val="36B3FB" w:themeColor="accent2" w:themeTint="97" w:themeShade="95"/>
      </w:rPr>
    </w:tblStylePr>
    <w:tblStylePr w:type="band1Vert">
      <w:tblPr/>
      <w:tcPr>
        <w:shd w:val="clear" w:color="BCE6FD" w:themeColor="accent2" w:themeTint="32" w:fill="BCE6FD" w:themeFill="accent2" w:themeFillTint="32"/>
      </w:tcPr>
    </w:tblStylePr>
    <w:tblStylePr w:type="band1Horz">
      <w:rPr>
        <w:rFonts w:ascii="Arial" w:hAnsi="Arial"/>
        <w:color w:val="36B3FB" w:themeColor="accent2" w:themeTint="97" w:themeShade="95"/>
        <w:sz w:val="22"/>
      </w:rPr>
      <w:tblPr/>
      <w:tcPr>
        <w:shd w:val="clear" w:color="BCE6FD" w:themeColor="accent2" w:themeTint="32" w:fill="BCE6FD" w:themeFill="accent2" w:themeFillTint="32"/>
      </w:tcPr>
    </w:tblStylePr>
    <w:tblStylePr w:type="band2Horz">
      <w:rPr>
        <w:rFonts w:ascii="Arial" w:hAnsi="Arial"/>
        <w:color w:val="36B3FB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A43E03" w:themeColor="accent3" w:themeTint="FE"/>
        <w:left w:val="single" w:sz="4" w:space="0" w:color="A43E03" w:themeColor="accent3" w:themeTint="FE"/>
        <w:bottom w:val="single" w:sz="4" w:space="0" w:color="A43E03" w:themeColor="accent3" w:themeTint="FE"/>
        <w:right w:val="single" w:sz="4" w:space="0" w:color="A43E03" w:themeColor="accent3" w:themeTint="FE"/>
        <w:insideH w:val="single" w:sz="4" w:space="0" w:color="A43E03" w:themeColor="accent3" w:themeTint="FE"/>
        <w:insideV w:val="single" w:sz="4" w:space="0" w:color="A43E03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43E03" w:themeColor="accent3" w:themeTint="FE" w:themeShade="95"/>
      </w:rPr>
      <w:tblPr/>
      <w:tcPr>
        <w:tcBorders>
          <w:bottom w:val="single" w:sz="12" w:space="0" w:color="A43E03" w:themeColor="accent3" w:themeTint="FE"/>
        </w:tcBorders>
      </w:tcPr>
    </w:tblStylePr>
    <w:tblStylePr w:type="lastRow">
      <w:rPr>
        <w:b/>
        <w:color w:val="A43E03" w:themeColor="accent3" w:themeTint="FE" w:themeShade="95"/>
      </w:rPr>
    </w:tblStylePr>
    <w:tblStylePr w:type="firstCol">
      <w:rPr>
        <w:b/>
        <w:color w:val="A43E03" w:themeColor="accent3" w:themeTint="FE" w:themeShade="95"/>
      </w:rPr>
    </w:tblStylePr>
    <w:tblStylePr w:type="lastCol">
      <w:rPr>
        <w:b/>
        <w:color w:val="A43E03" w:themeColor="accent3" w:themeTint="FE" w:themeShade="95"/>
      </w:rPr>
    </w:tblStylePr>
    <w:tblStylePr w:type="band1Vert">
      <w:tblPr/>
      <w:tcPr>
        <w:shd w:val="clear" w:color="FDD2B9" w:themeColor="accent3" w:themeTint="34" w:fill="FDD2B9" w:themeFill="accent3" w:themeFillTint="34"/>
      </w:tcPr>
    </w:tblStylePr>
    <w:tblStylePr w:type="band1Horz">
      <w:rPr>
        <w:rFonts w:ascii="Arial" w:hAnsi="Arial"/>
        <w:color w:val="A43E03" w:themeColor="accent3" w:themeTint="FE" w:themeShade="95"/>
        <w:sz w:val="22"/>
      </w:rPr>
      <w:tblPr/>
      <w:tcPr>
        <w:shd w:val="clear" w:color="FDD2B9" w:themeColor="accent3" w:themeTint="34" w:fill="FDD2B9" w:themeFill="accent3" w:themeFillTint="34"/>
      </w:tcPr>
    </w:tblStylePr>
    <w:tblStylePr w:type="band2Horz">
      <w:rPr>
        <w:rFonts w:ascii="Arial" w:hAnsi="Arial"/>
        <w:color w:val="A43E03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E032FB" w:themeColor="accent4" w:themeTint="9A"/>
        <w:left w:val="single" w:sz="4" w:space="0" w:color="E032FB" w:themeColor="accent4" w:themeTint="9A"/>
        <w:bottom w:val="single" w:sz="4" w:space="0" w:color="E032FB" w:themeColor="accent4" w:themeTint="9A"/>
        <w:right w:val="single" w:sz="4" w:space="0" w:color="E032FB" w:themeColor="accent4" w:themeTint="9A"/>
        <w:insideH w:val="single" w:sz="4" w:space="0" w:color="E032FB" w:themeColor="accent4" w:themeTint="9A"/>
        <w:insideV w:val="single" w:sz="4" w:space="0" w:color="E032FB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E032FB" w:themeColor="accent4" w:themeTint="9A" w:themeShade="95"/>
      </w:rPr>
      <w:tblPr/>
      <w:tcPr>
        <w:tcBorders>
          <w:bottom w:val="single" w:sz="12" w:space="0" w:color="E032FB" w:themeColor="accent4" w:themeTint="9A"/>
        </w:tcBorders>
      </w:tcPr>
    </w:tblStylePr>
    <w:tblStylePr w:type="lastRow">
      <w:rPr>
        <w:b/>
        <w:color w:val="E032FB" w:themeColor="accent4" w:themeTint="9A" w:themeShade="95"/>
      </w:rPr>
    </w:tblStylePr>
    <w:tblStylePr w:type="firstCol">
      <w:rPr>
        <w:b/>
        <w:color w:val="E032FB" w:themeColor="accent4" w:themeTint="9A" w:themeShade="95"/>
      </w:rPr>
    </w:tblStylePr>
    <w:tblStylePr w:type="lastCol">
      <w:rPr>
        <w:b/>
        <w:color w:val="E032FB" w:themeColor="accent4" w:themeTint="9A" w:themeShade="95"/>
      </w:rPr>
    </w:tblStylePr>
    <w:tblStylePr w:type="band1Vert">
      <w:tblPr/>
      <w:tcPr>
        <w:shd w:val="clear" w:color="F4B9FD" w:themeColor="accent4" w:themeTint="34" w:fill="F4B9FD" w:themeFill="accent4" w:themeFillTint="34"/>
      </w:tcPr>
    </w:tblStylePr>
    <w:tblStylePr w:type="band1Horz">
      <w:rPr>
        <w:rFonts w:ascii="Arial" w:hAnsi="Arial"/>
        <w:color w:val="E032FB" w:themeColor="accent4" w:themeTint="9A" w:themeShade="95"/>
        <w:sz w:val="22"/>
      </w:rPr>
      <w:tblPr/>
      <w:tcPr>
        <w:shd w:val="clear" w:color="F4B9FD" w:themeColor="accent4" w:themeTint="34" w:fill="F4B9FD" w:themeFill="accent4" w:themeFillTint="34"/>
      </w:tcPr>
    </w:tblStylePr>
    <w:tblStylePr w:type="band2Horz">
      <w:rPr>
        <w:rFonts w:ascii="Arial" w:hAnsi="Arial"/>
        <w:color w:val="E032FB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C99C00" w:themeColor="accent5"/>
        <w:left w:val="single" w:sz="4" w:space="0" w:color="C99C00" w:themeColor="accent5"/>
        <w:bottom w:val="single" w:sz="4" w:space="0" w:color="C99C00" w:themeColor="accent5"/>
        <w:right w:val="single" w:sz="4" w:space="0" w:color="C99C00" w:themeColor="accent5"/>
        <w:insideH w:val="single" w:sz="4" w:space="0" w:color="C99C00" w:themeColor="accent5"/>
        <w:insideV w:val="single" w:sz="4" w:space="0" w:color="C99C00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55A00" w:themeColor="accent5" w:themeShade="95"/>
      </w:rPr>
      <w:tblPr/>
      <w:tcPr>
        <w:tcBorders>
          <w:bottom w:val="single" w:sz="12" w:space="0" w:color="C99C00" w:themeColor="accent5"/>
        </w:tcBorders>
      </w:tcPr>
    </w:tblStylePr>
    <w:tblStylePr w:type="lastRow">
      <w:rPr>
        <w:b/>
        <w:color w:val="755A00" w:themeColor="accent5" w:themeShade="95"/>
      </w:rPr>
    </w:tblStylePr>
    <w:tblStylePr w:type="firstCol">
      <w:rPr>
        <w:b/>
        <w:color w:val="755A00" w:themeColor="accent5" w:themeShade="95"/>
      </w:rPr>
    </w:tblStylePr>
    <w:tblStylePr w:type="lastCol">
      <w:rPr>
        <w:b/>
        <w:color w:val="755A00" w:themeColor="accent5" w:themeShade="95"/>
      </w:rPr>
    </w:tblStylePr>
    <w:tblStylePr w:type="band1Vert">
      <w:tblPr/>
      <w:tcPr>
        <w:shd w:val="clear" w:color="FFF0BF" w:themeColor="accent5" w:themeTint="34" w:fill="FFF0BF" w:themeFill="accent5" w:themeFillTint="34"/>
      </w:tcPr>
    </w:tblStylePr>
    <w:tblStylePr w:type="band1Horz">
      <w:rPr>
        <w:rFonts w:ascii="Arial" w:hAnsi="Arial"/>
        <w:color w:val="755A00" w:themeColor="accent5" w:themeShade="95"/>
        <w:sz w:val="22"/>
      </w:rPr>
      <w:tblPr/>
      <w:tcPr>
        <w:shd w:val="clear" w:color="FFF0BF" w:themeColor="accent5" w:themeTint="34" w:fill="FFF0BF" w:themeFill="accent5" w:themeFillTint="34"/>
      </w:tcPr>
    </w:tblStylePr>
    <w:tblStylePr w:type="band2Horz">
      <w:rPr>
        <w:rFonts w:ascii="Arial" w:hAnsi="Arial"/>
        <w:color w:val="755A00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C9211E" w:themeColor="accent6"/>
        <w:left w:val="single" w:sz="4" w:space="0" w:color="C9211E" w:themeColor="accent6"/>
        <w:bottom w:val="single" w:sz="4" w:space="0" w:color="C9211E" w:themeColor="accent6"/>
        <w:right w:val="single" w:sz="4" w:space="0" w:color="C9211E" w:themeColor="accent6"/>
        <w:insideH w:val="single" w:sz="4" w:space="0" w:color="C9211E" w:themeColor="accent6"/>
        <w:insideV w:val="single" w:sz="4" w:space="0" w:color="C9211E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55A00" w:themeColor="accent5" w:themeShade="95"/>
      </w:rPr>
      <w:tblPr/>
      <w:tcPr>
        <w:tcBorders>
          <w:bottom w:val="single" w:sz="12" w:space="0" w:color="C9211E" w:themeColor="accent6"/>
        </w:tcBorders>
      </w:tcPr>
    </w:tblStylePr>
    <w:tblStylePr w:type="lastRow">
      <w:rPr>
        <w:b/>
        <w:color w:val="755A00" w:themeColor="accent5" w:themeShade="95"/>
      </w:rPr>
    </w:tblStylePr>
    <w:tblStylePr w:type="firstCol">
      <w:rPr>
        <w:b/>
        <w:color w:val="755A00" w:themeColor="accent5" w:themeShade="95"/>
      </w:rPr>
    </w:tblStylePr>
    <w:tblStylePr w:type="lastCol">
      <w:rPr>
        <w:b/>
        <w:color w:val="755A00" w:themeColor="accent5" w:themeShade="95"/>
      </w:rPr>
    </w:tblStylePr>
    <w:tblStylePr w:type="band1Vert">
      <w:tblPr/>
      <w:tcPr>
        <w:shd w:val="clear" w:color="F7CDCD" w:themeColor="accent6" w:themeTint="34" w:fill="F7CDCD" w:themeFill="accent6" w:themeFillTint="34"/>
      </w:tcPr>
    </w:tblStylePr>
    <w:tblStylePr w:type="band1Horz">
      <w:rPr>
        <w:rFonts w:ascii="Arial" w:hAnsi="Arial"/>
        <w:color w:val="755A00" w:themeColor="accent5" w:themeShade="95"/>
        <w:sz w:val="22"/>
      </w:rPr>
      <w:tblPr/>
      <w:tcPr>
        <w:shd w:val="clear" w:color="F7CDCD" w:themeColor="accent6" w:themeTint="34" w:fill="F7CDCD" w:themeFill="accent6" w:themeFillTint="34"/>
      </w:tcPr>
    </w:tblStylePr>
    <w:tblStylePr w:type="band2Horz">
      <w:rPr>
        <w:rFonts w:ascii="Arial" w:hAnsi="Arial"/>
        <w:color w:val="755A00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6AFC55" w:themeColor="accent1" w:themeTint="80"/>
        <w:right w:val="single" w:sz="4" w:space="0" w:color="6AFC55" w:themeColor="accent1" w:themeTint="80"/>
        <w:insideH w:val="single" w:sz="4" w:space="0" w:color="6AFC55" w:themeColor="accent1" w:themeTint="80"/>
        <w:insideV w:val="single" w:sz="4" w:space="0" w:color="6AFC55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6AFC55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6AFC55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6AFC55" w:themeColor="accent1" w:themeTint="80" w:themeShade="95"/>
        <w:sz w:val="22"/>
      </w:rPr>
      <w:tblPr/>
      <w:tcPr>
        <w:tcBorders>
          <w:top w:val="single" w:sz="4" w:space="0" w:color="6AFC55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6AFC55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6AFC55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6AFC55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6AFC55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2FDB9" w:themeColor="accent1" w:themeTint="34" w:fill="C2FDB9" w:themeFill="accent1" w:themeFillTint="34"/>
      </w:tcPr>
    </w:tblStylePr>
    <w:tblStylePr w:type="band1Horz">
      <w:rPr>
        <w:rFonts w:ascii="Arial" w:hAnsi="Arial"/>
        <w:color w:val="6AFC55" w:themeColor="accent1" w:themeTint="80" w:themeShade="95"/>
        <w:sz w:val="22"/>
      </w:rPr>
      <w:tblPr/>
      <w:tcPr>
        <w:shd w:val="clear" w:color="C2FDB9" w:themeColor="accent1" w:themeTint="34" w:fill="C2FDB9" w:themeFill="accent1" w:themeFillTint="34"/>
      </w:tcPr>
    </w:tblStylePr>
    <w:tblStylePr w:type="band2Horz">
      <w:rPr>
        <w:rFonts w:ascii="Arial" w:hAnsi="Arial"/>
        <w:color w:val="6AFC55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36B3FB" w:themeColor="accent2" w:themeTint="97"/>
        <w:right w:val="single" w:sz="4" w:space="0" w:color="36B3FB" w:themeColor="accent2" w:themeTint="97"/>
        <w:insideH w:val="single" w:sz="4" w:space="0" w:color="36B3FB" w:themeColor="accent2" w:themeTint="97"/>
        <w:insideV w:val="single" w:sz="4" w:space="0" w:color="36B3FB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36B3FB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36B3FB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36B3FB" w:themeColor="accent2" w:themeTint="97" w:themeShade="95"/>
        <w:sz w:val="22"/>
      </w:rPr>
      <w:tblPr/>
      <w:tcPr>
        <w:tcBorders>
          <w:top w:val="single" w:sz="4" w:space="0" w:color="36B3FB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6B3FB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36B3FB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36B3FB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36B3FB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CE6FD" w:themeColor="accent2" w:themeTint="32" w:fill="BCE6FD" w:themeFill="accent2" w:themeFillTint="32"/>
      </w:tcPr>
    </w:tblStylePr>
    <w:tblStylePr w:type="band1Horz">
      <w:rPr>
        <w:rFonts w:ascii="Arial" w:hAnsi="Arial"/>
        <w:color w:val="36B3FB" w:themeColor="accent2" w:themeTint="97" w:themeShade="95"/>
        <w:sz w:val="22"/>
      </w:rPr>
      <w:tblPr/>
      <w:tcPr>
        <w:shd w:val="clear" w:color="BCE6FD" w:themeColor="accent2" w:themeTint="32" w:fill="BCE6FD" w:themeFill="accent2" w:themeFillTint="32"/>
      </w:tcPr>
    </w:tblStylePr>
    <w:tblStylePr w:type="band2Horz">
      <w:rPr>
        <w:rFonts w:ascii="Arial" w:hAnsi="Arial"/>
        <w:color w:val="36B3FB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A43E03" w:themeColor="accent3" w:themeTint="FE"/>
        <w:right w:val="single" w:sz="4" w:space="0" w:color="A43E03" w:themeColor="accent3" w:themeTint="FE"/>
        <w:insideH w:val="single" w:sz="4" w:space="0" w:color="A43E03" w:themeColor="accent3" w:themeTint="FE"/>
        <w:insideV w:val="single" w:sz="4" w:space="0" w:color="A43E03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43E03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43E03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43E03" w:themeColor="accent3" w:themeTint="FE" w:themeShade="95"/>
        <w:sz w:val="22"/>
      </w:rPr>
      <w:tblPr/>
      <w:tcPr>
        <w:tcBorders>
          <w:top w:val="single" w:sz="4" w:space="0" w:color="A43E03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43E03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43E03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43E03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43E03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D2B9" w:themeColor="accent3" w:themeTint="34" w:fill="FDD2B9" w:themeFill="accent3" w:themeFillTint="34"/>
      </w:tcPr>
    </w:tblStylePr>
    <w:tblStylePr w:type="band1Horz">
      <w:rPr>
        <w:rFonts w:ascii="Arial" w:hAnsi="Arial"/>
        <w:color w:val="A43E03" w:themeColor="accent3" w:themeTint="FE" w:themeShade="95"/>
        <w:sz w:val="22"/>
      </w:rPr>
      <w:tblPr/>
      <w:tcPr>
        <w:shd w:val="clear" w:color="FDD2B9" w:themeColor="accent3" w:themeTint="34" w:fill="FDD2B9" w:themeFill="accent3" w:themeFillTint="34"/>
      </w:tcPr>
    </w:tblStylePr>
    <w:tblStylePr w:type="band2Horz">
      <w:rPr>
        <w:rFonts w:ascii="Arial" w:hAnsi="Arial"/>
        <w:color w:val="A43E03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E032FB" w:themeColor="accent4" w:themeTint="9A"/>
        <w:right w:val="single" w:sz="4" w:space="0" w:color="E032FB" w:themeColor="accent4" w:themeTint="9A"/>
        <w:insideH w:val="single" w:sz="4" w:space="0" w:color="E032FB" w:themeColor="accent4" w:themeTint="9A"/>
        <w:insideV w:val="single" w:sz="4" w:space="0" w:color="E032FB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E032FB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032FB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E032FB" w:themeColor="accent4" w:themeTint="9A" w:themeShade="95"/>
        <w:sz w:val="22"/>
      </w:rPr>
      <w:tblPr/>
      <w:tcPr>
        <w:tcBorders>
          <w:top w:val="single" w:sz="4" w:space="0" w:color="E032FB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E032FB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032FB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E032FB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E032FB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4B9FD" w:themeColor="accent4" w:themeTint="34" w:fill="F4B9FD" w:themeFill="accent4" w:themeFillTint="34"/>
      </w:tcPr>
    </w:tblStylePr>
    <w:tblStylePr w:type="band1Horz">
      <w:rPr>
        <w:rFonts w:ascii="Arial" w:hAnsi="Arial"/>
        <w:color w:val="E032FB" w:themeColor="accent4" w:themeTint="9A" w:themeShade="95"/>
        <w:sz w:val="22"/>
      </w:rPr>
      <w:tblPr/>
      <w:tcPr>
        <w:shd w:val="clear" w:color="F4B9FD" w:themeColor="accent4" w:themeTint="34" w:fill="F4B9FD" w:themeFill="accent4" w:themeFillTint="34"/>
      </w:tcPr>
    </w:tblStylePr>
    <w:tblStylePr w:type="band2Horz">
      <w:rPr>
        <w:rFonts w:ascii="Arial" w:hAnsi="Arial"/>
        <w:color w:val="E032FB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FFD750" w:themeColor="accent5" w:themeTint="90"/>
        <w:right w:val="single" w:sz="4" w:space="0" w:color="FFD750" w:themeColor="accent5" w:themeTint="90"/>
        <w:insideH w:val="single" w:sz="4" w:space="0" w:color="FFD750" w:themeColor="accent5" w:themeTint="90"/>
        <w:insideV w:val="single" w:sz="4" w:space="0" w:color="FFD750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55A00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750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55A00" w:themeColor="accent5" w:themeShade="95"/>
        <w:sz w:val="22"/>
      </w:rPr>
      <w:tblPr/>
      <w:tcPr>
        <w:tcBorders>
          <w:top w:val="single" w:sz="4" w:space="0" w:color="FFD750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55A00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750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755A00" w:themeColor="accent5" w:themeShade="95"/>
        <w:sz w:val="22"/>
      </w:rPr>
      <w:tblPr/>
      <w:tcPr>
        <w:tcBorders>
          <w:top w:val="none" w:sz="0" w:space="0" w:color="auto"/>
          <w:left w:val="single" w:sz="4" w:space="0" w:color="FFD750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0BF" w:themeColor="accent5" w:themeTint="34" w:fill="FFF0BF" w:themeFill="accent5" w:themeFillTint="34"/>
      </w:tcPr>
    </w:tblStylePr>
    <w:tblStylePr w:type="band1Horz">
      <w:rPr>
        <w:rFonts w:ascii="Arial" w:hAnsi="Arial"/>
        <w:color w:val="755A00" w:themeColor="accent5" w:themeShade="95"/>
        <w:sz w:val="22"/>
      </w:rPr>
      <w:tblPr/>
      <w:tcPr>
        <w:shd w:val="clear" w:color="FFF0BF" w:themeColor="accent5" w:themeTint="34" w:fill="FFF0BF" w:themeFill="accent5" w:themeFillTint="34"/>
      </w:tcPr>
    </w:tblStylePr>
    <w:tblStylePr w:type="band2Horz">
      <w:rPr>
        <w:rFonts w:ascii="Arial" w:hAnsi="Arial"/>
        <w:color w:val="755A00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EA7775" w:themeColor="accent6" w:themeTint="90"/>
        <w:right w:val="single" w:sz="4" w:space="0" w:color="EA7775" w:themeColor="accent6" w:themeTint="90"/>
        <w:insideH w:val="single" w:sz="4" w:space="0" w:color="EA7775" w:themeColor="accent6" w:themeTint="90"/>
        <w:insideV w:val="single" w:sz="4" w:space="0" w:color="EA7775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51311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A7775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51311" w:themeColor="accent6" w:themeShade="95"/>
        <w:sz w:val="22"/>
      </w:rPr>
      <w:tblPr/>
      <w:tcPr>
        <w:tcBorders>
          <w:top w:val="single" w:sz="4" w:space="0" w:color="EA7775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51311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A7775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751311" w:themeColor="accent6" w:themeShade="95"/>
        <w:sz w:val="22"/>
      </w:rPr>
      <w:tblPr/>
      <w:tcPr>
        <w:tcBorders>
          <w:top w:val="none" w:sz="0" w:space="0" w:color="auto"/>
          <w:left w:val="single" w:sz="4" w:space="0" w:color="EA7775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7CDCD" w:themeColor="accent6" w:themeTint="34" w:fill="F7CDCD" w:themeFill="accent6" w:themeFillTint="34"/>
      </w:tcPr>
    </w:tblStylePr>
    <w:tblStylePr w:type="band1Horz">
      <w:rPr>
        <w:rFonts w:ascii="Arial" w:hAnsi="Arial"/>
        <w:color w:val="751311" w:themeColor="accent6" w:themeShade="95"/>
        <w:sz w:val="22"/>
      </w:rPr>
      <w:tblPr/>
      <w:tcPr>
        <w:shd w:val="clear" w:color="F7CDCD" w:themeColor="accent6" w:themeTint="34" w:fill="F7CDCD" w:themeFill="accent6" w:themeFillTint="34"/>
      </w:tcPr>
    </w:tblStylePr>
    <w:tblStylePr w:type="band2Horz">
      <w:rPr>
        <w:rFonts w:ascii="Arial" w:hAnsi="Arial"/>
        <w:color w:val="751311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18A303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18A303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4FDA9" w:themeColor="accent1" w:themeTint="40" w:fill="B4FDA9" w:themeFill="accent1" w:themeFillTint="40"/>
      </w:tcPr>
    </w:tblStylePr>
    <w:tblStylePr w:type="band1Horz">
      <w:tblPr/>
      <w:tcPr>
        <w:shd w:val="clear" w:color="B4FDA9" w:themeColor="accent1" w:themeTint="40" w:fill="B4FDA9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369A3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369A3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9DEFD" w:themeColor="accent2" w:themeTint="40" w:fill="A9DEFD" w:themeFill="accent2" w:themeFillTint="40"/>
      </w:tcPr>
    </w:tblStylePr>
    <w:tblStylePr w:type="band1Horz">
      <w:tblPr/>
      <w:tcPr>
        <w:shd w:val="clear" w:color="A9DEFD" w:themeColor="accent2" w:themeTint="40" w:fill="A9DEFD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33E03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33E03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C8A9" w:themeColor="accent3" w:themeTint="40" w:fill="FDC8A9" w:themeFill="accent3" w:themeFillTint="40"/>
      </w:tcPr>
    </w:tblStylePr>
    <w:tblStylePr w:type="band1Horz">
      <w:tblPr/>
      <w:tcPr>
        <w:shd w:val="clear" w:color="FDC8A9" w:themeColor="accent3" w:themeTint="40" w:fill="FDC8A9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E03A3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E03A3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2A9FD" w:themeColor="accent4" w:themeTint="40" w:fill="F2A9FD" w:themeFill="accent4" w:themeFillTint="40"/>
      </w:tcPr>
    </w:tblStylePr>
    <w:tblStylePr w:type="band1Horz">
      <w:tblPr/>
      <w:tcPr>
        <w:shd w:val="clear" w:color="F2A9FD" w:themeColor="accent4" w:themeTint="40" w:fill="F2A9FD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9C00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99C00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DB1" w:themeColor="accent5" w:themeTint="40" w:fill="FFEDB1" w:themeFill="accent5" w:themeFillTint="40"/>
      </w:tcPr>
    </w:tblStylePr>
    <w:tblStylePr w:type="band1Horz">
      <w:tblPr/>
      <w:tcPr>
        <w:shd w:val="clear" w:color="FFEDB1" w:themeColor="accent5" w:themeTint="40" w:fill="FFEDB1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211E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9211E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6C2C1" w:themeColor="accent6" w:themeTint="40" w:fill="F6C2C1" w:themeFill="accent6" w:themeFillTint="40"/>
      </w:tcPr>
    </w:tblStylePr>
    <w:tblStylePr w:type="band1Horz">
      <w:tblPr/>
      <w:tcPr>
        <w:shd w:val="clear" w:color="F6C2C1" w:themeColor="accent6" w:themeTint="40" w:fill="F6C2C1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58FB40" w:themeColor="accent1" w:themeTint="90"/>
        <w:bottom w:val="single" w:sz="4" w:space="0" w:color="58FB40" w:themeColor="accent1" w:themeTint="90"/>
        <w:insideH w:val="single" w:sz="4" w:space="0" w:color="58FB40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8FB40" w:themeColor="accent1" w:themeTint="90"/>
          <w:left w:val="none" w:sz="4" w:space="0" w:color="000000"/>
          <w:bottom w:val="single" w:sz="4" w:space="0" w:color="58FB40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8FB40" w:themeColor="accent1" w:themeTint="90"/>
          <w:left w:val="none" w:sz="4" w:space="0" w:color="000000"/>
          <w:bottom w:val="single" w:sz="4" w:space="0" w:color="58FB40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4FDA9" w:themeColor="accent1" w:themeTint="40" w:fill="B4FDA9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4FDA9" w:themeColor="accent1" w:themeTint="40" w:fill="B4FDA9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40B7FB" w:themeColor="accent2" w:themeTint="90"/>
        <w:bottom w:val="single" w:sz="4" w:space="0" w:color="40B7FB" w:themeColor="accent2" w:themeTint="90"/>
        <w:insideH w:val="single" w:sz="4" w:space="0" w:color="40B7FB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0B7FB" w:themeColor="accent2" w:themeTint="90"/>
          <w:left w:val="none" w:sz="4" w:space="0" w:color="000000"/>
          <w:bottom w:val="single" w:sz="4" w:space="0" w:color="40B7FB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0B7FB" w:themeColor="accent2" w:themeTint="90"/>
          <w:left w:val="none" w:sz="4" w:space="0" w:color="000000"/>
          <w:bottom w:val="single" w:sz="4" w:space="0" w:color="40B7FB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9DEFD" w:themeColor="accent2" w:themeTint="40" w:fill="A9DEFD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9DEFD" w:themeColor="accent2" w:themeTint="40" w:fill="A9DEFD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FB8540" w:themeColor="accent3" w:themeTint="90"/>
        <w:bottom w:val="single" w:sz="4" w:space="0" w:color="FB8540" w:themeColor="accent3" w:themeTint="90"/>
        <w:insideH w:val="single" w:sz="4" w:space="0" w:color="FB8540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B8540" w:themeColor="accent3" w:themeTint="90"/>
          <w:left w:val="none" w:sz="4" w:space="0" w:color="000000"/>
          <w:bottom w:val="single" w:sz="4" w:space="0" w:color="FB8540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B8540" w:themeColor="accent3" w:themeTint="90"/>
          <w:left w:val="none" w:sz="4" w:space="0" w:color="000000"/>
          <w:bottom w:val="single" w:sz="4" w:space="0" w:color="FB8540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C8A9" w:themeColor="accent3" w:themeTint="40" w:fill="FDC8A9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C8A9" w:themeColor="accent3" w:themeTint="40" w:fill="FDC8A9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E240FB" w:themeColor="accent4" w:themeTint="90"/>
        <w:bottom w:val="single" w:sz="4" w:space="0" w:color="E240FB" w:themeColor="accent4" w:themeTint="90"/>
        <w:insideH w:val="single" w:sz="4" w:space="0" w:color="E240FB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240FB" w:themeColor="accent4" w:themeTint="90"/>
          <w:left w:val="none" w:sz="4" w:space="0" w:color="000000"/>
          <w:bottom w:val="single" w:sz="4" w:space="0" w:color="E240FB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240FB" w:themeColor="accent4" w:themeTint="90"/>
          <w:left w:val="none" w:sz="4" w:space="0" w:color="000000"/>
          <w:bottom w:val="single" w:sz="4" w:space="0" w:color="E240FB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A9FD" w:themeColor="accent4" w:themeTint="40" w:fill="F2A9FD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A9FD" w:themeColor="accent4" w:themeTint="40" w:fill="F2A9FD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FFD750" w:themeColor="accent5" w:themeTint="90"/>
        <w:bottom w:val="single" w:sz="4" w:space="0" w:color="FFD750" w:themeColor="accent5" w:themeTint="90"/>
        <w:insideH w:val="single" w:sz="4" w:space="0" w:color="FFD750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750" w:themeColor="accent5" w:themeTint="90"/>
          <w:left w:val="none" w:sz="4" w:space="0" w:color="000000"/>
          <w:bottom w:val="single" w:sz="4" w:space="0" w:color="FFD750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750" w:themeColor="accent5" w:themeTint="90"/>
          <w:left w:val="none" w:sz="4" w:space="0" w:color="000000"/>
          <w:bottom w:val="single" w:sz="4" w:space="0" w:color="FFD750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DB1" w:themeColor="accent5" w:themeTint="40" w:fill="FFEDB1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DB1" w:themeColor="accent5" w:themeTint="40" w:fill="FFEDB1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EA7775" w:themeColor="accent6" w:themeTint="90"/>
        <w:bottom w:val="single" w:sz="4" w:space="0" w:color="EA7775" w:themeColor="accent6" w:themeTint="90"/>
        <w:insideH w:val="single" w:sz="4" w:space="0" w:color="EA7775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A7775" w:themeColor="accent6" w:themeTint="90"/>
          <w:left w:val="none" w:sz="4" w:space="0" w:color="000000"/>
          <w:bottom w:val="single" w:sz="4" w:space="0" w:color="EA7775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A7775" w:themeColor="accent6" w:themeTint="90"/>
          <w:left w:val="none" w:sz="4" w:space="0" w:color="000000"/>
          <w:bottom w:val="single" w:sz="4" w:space="0" w:color="EA7775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6C2C1" w:themeColor="accent6" w:themeTint="40" w:fill="F6C2C1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6C2C1" w:themeColor="accent6" w:themeTint="40" w:fill="F6C2C1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18A303" w:themeColor="accent1"/>
        <w:left w:val="single" w:sz="4" w:space="0" w:color="18A303" w:themeColor="accent1"/>
        <w:bottom w:val="single" w:sz="4" w:space="0" w:color="18A303" w:themeColor="accent1"/>
        <w:right w:val="single" w:sz="4" w:space="0" w:color="18A303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8A303" w:themeColor="accent1" w:fill="18A303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18A303" w:themeColor="accent1"/>
          <w:right w:val="single" w:sz="4" w:space="0" w:color="18A303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18A303" w:themeColor="accent1"/>
          <w:bottom w:val="single" w:sz="4" w:space="0" w:color="18A303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36B3FB" w:themeColor="accent2" w:themeTint="97"/>
        <w:left w:val="single" w:sz="4" w:space="0" w:color="36B3FB" w:themeColor="accent2" w:themeTint="97"/>
        <w:bottom w:val="single" w:sz="4" w:space="0" w:color="36B3FB" w:themeColor="accent2" w:themeTint="97"/>
        <w:right w:val="single" w:sz="4" w:space="0" w:color="36B3FB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36B3FB" w:themeColor="accent2" w:themeTint="97" w:fill="36B3FB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36B3FB" w:themeColor="accent2" w:themeTint="97"/>
          <w:right w:val="single" w:sz="4" w:space="0" w:color="36B3FB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36B3FB" w:themeColor="accent2" w:themeTint="97"/>
          <w:bottom w:val="single" w:sz="4" w:space="0" w:color="36B3FB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FB7E35" w:themeColor="accent3" w:themeTint="98"/>
        <w:left w:val="single" w:sz="4" w:space="0" w:color="FB7E35" w:themeColor="accent3" w:themeTint="98"/>
        <w:bottom w:val="single" w:sz="4" w:space="0" w:color="FB7E35" w:themeColor="accent3" w:themeTint="98"/>
        <w:right w:val="single" w:sz="4" w:space="0" w:color="FB7E35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B7E35" w:themeColor="accent3" w:themeTint="98" w:fill="FB7E35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B7E35" w:themeColor="accent3" w:themeTint="98"/>
          <w:right w:val="single" w:sz="4" w:space="0" w:color="FB7E35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7E35" w:themeColor="accent3" w:themeTint="98"/>
          <w:bottom w:val="single" w:sz="4" w:space="0" w:color="FB7E35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E032FB" w:themeColor="accent4" w:themeTint="9A"/>
        <w:left w:val="single" w:sz="4" w:space="0" w:color="E032FB" w:themeColor="accent4" w:themeTint="9A"/>
        <w:bottom w:val="single" w:sz="4" w:space="0" w:color="E032FB" w:themeColor="accent4" w:themeTint="9A"/>
        <w:right w:val="single" w:sz="4" w:space="0" w:color="E032FB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032FB" w:themeColor="accent4" w:themeTint="9A" w:fill="E032FB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E032FB" w:themeColor="accent4" w:themeTint="9A"/>
          <w:right w:val="single" w:sz="4" w:space="0" w:color="E032FB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032FB" w:themeColor="accent4" w:themeTint="9A"/>
          <w:bottom w:val="single" w:sz="4" w:space="0" w:color="E032FB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FFD444" w:themeColor="accent5" w:themeTint="9A"/>
        <w:left w:val="single" w:sz="4" w:space="0" w:color="FFD444" w:themeColor="accent5" w:themeTint="9A"/>
        <w:bottom w:val="single" w:sz="4" w:space="0" w:color="FFD444" w:themeColor="accent5" w:themeTint="9A"/>
        <w:right w:val="single" w:sz="4" w:space="0" w:color="FFD444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444" w:themeColor="accent5" w:themeTint="9A" w:fill="FFD444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444" w:themeColor="accent5" w:themeTint="9A"/>
          <w:right w:val="single" w:sz="4" w:space="0" w:color="FFD444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444" w:themeColor="accent5" w:themeTint="9A"/>
          <w:bottom w:val="single" w:sz="4" w:space="0" w:color="FFD444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E9706E" w:themeColor="accent6" w:themeTint="98"/>
        <w:left w:val="single" w:sz="4" w:space="0" w:color="E9706E" w:themeColor="accent6" w:themeTint="98"/>
        <w:bottom w:val="single" w:sz="4" w:space="0" w:color="E9706E" w:themeColor="accent6" w:themeTint="98"/>
        <w:right w:val="single" w:sz="4" w:space="0" w:color="E9706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9706E" w:themeColor="accent6" w:themeTint="98" w:fill="E9706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E9706E" w:themeColor="accent6" w:themeTint="98"/>
          <w:right w:val="single" w:sz="4" w:space="0" w:color="E9706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9706E" w:themeColor="accent6" w:themeTint="98"/>
          <w:bottom w:val="single" w:sz="4" w:space="0" w:color="E9706E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58FB40" w:themeColor="accent1" w:themeTint="90"/>
        <w:left w:val="single" w:sz="4" w:space="0" w:color="58FB40" w:themeColor="accent1" w:themeTint="90"/>
        <w:bottom w:val="single" w:sz="4" w:space="0" w:color="58FB40" w:themeColor="accent1" w:themeTint="90"/>
        <w:right w:val="single" w:sz="4" w:space="0" w:color="58FB40" w:themeColor="accent1" w:themeTint="90"/>
        <w:insideH w:val="single" w:sz="4" w:space="0" w:color="58FB40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8A303" w:themeColor="accent1" w:fill="18A303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4FDA9" w:themeColor="accent1" w:themeTint="40" w:fill="B4FDA9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4FDA9" w:themeColor="accent1" w:themeTint="40" w:fill="B4FDA9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40B7FB" w:themeColor="accent2" w:themeTint="90"/>
        <w:left w:val="single" w:sz="4" w:space="0" w:color="40B7FB" w:themeColor="accent2" w:themeTint="90"/>
        <w:bottom w:val="single" w:sz="4" w:space="0" w:color="40B7FB" w:themeColor="accent2" w:themeTint="90"/>
        <w:right w:val="single" w:sz="4" w:space="0" w:color="40B7FB" w:themeColor="accent2" w:themeTint="90"/>
        <w:insideH w:val="single" w:sz="4" w:space="0" w:color="40B7FB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369A3" w:themeColor="accent2" w:fill="0369A3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9DEFD" w:themeColor="accent2" w:themeTint="40" w:fill="A9DEFD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9DEFD" w:themeColor="accent2" w:themeTint="40" w:fill="A9DEFD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FB8540" w:themeColor="accent3" w:themeTint="90"/>
        <w:left w:val="single" w:sz="4" w:space="0" w:color="FB8540" w:themeColor="accent3" w:themeTint="90"/>
        <w:bottom w:val="single" w:sz="4" w:space="0" w:color="FB8540" w:themeColor="accent3" w:themeTint="90"/>
        <w:right w:val="single" w:sz="4" w:space="0" w:color="FB8540" w:themeColor="accent3" w:themeTint="90"/>
        <w:insideH w:val="single" w:sz="4" w:space="0" w:color="FB8540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33E03" w:themeColor="accent3" w:fill="A33E03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C8A9" w:themeColor="accent3" w:themeTint="40" w:fill="FDC8A9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C8A9" w:themeColor="accent3" w:themeTint="40" w:fill="FDC8A9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E240FB" w:themeColor="accent4" w:themeTint="90"/>
        <w:left w:val="single" w:sz="4" w:space="0" w:color="E240FB" w:themeColor="accent4" w:themeTint="90"/>
        <w:bottom w:val="single" w:sz="4" w:space="0" w:color="E240FB" w:themeColor="accent4" w:themeTint="90"/>
        <w:right w:val="single" w:sz="4" w:space="0" w:color="E240FB" w:themeColor="accent4" w:themeTint="90"/>
        <w:insideH w:val="single" w:sz="4" w:space="0" w:color="E240FB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E03A3" w:themeColor="accent4" w:fill="8E03A3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A9FD" w:themeColor="accent4" w:themeTint="40" w:fill="F2A9FD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A9FD" w:themeColor="accent4" w:themeTint="40" w:fill="F2A9FD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FFD750" w:themeColor="accent5" w:themeTint="90"/>
        <w:left w:val="single" w:sz="4" w:space="0" w:color="FFD750" w:themeColor="accent5" w:themeTint="90"/>
        <w:bottom w:val="single" w:sz="4" w:space="0" w:color="FFD750" w:themeColor="accent5" w:themeTint="90"/>
        <w:right w:val="single" w:sz="4" w:space="0" w:color="FFD750" w:themeColor="accent5" w:themeTint="90"/>
        <w:insideH w:val="single" w:sz="4" w:space="0" w:color="FFD750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9C00" w:themeColor="accent5" w:fill="C99C00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DB1" w:themeColor="accent5" w:themeTint="40" w:fill="FFEDB1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DB1" w:themeColor="accent5" w:themeTint="40" w:fill="FFEDB1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EA7775" w:themeColor="accent6" w:themeTint="90"/>
        <w:left w:val="single" w:sz="4" w:space="0" w:color="EA7775" w:themeColor="accent6" w:themeTint="90"/>
        <w:bottom w:val="single" w:sz="4" w:space="0" w:color="EA7775" w:themeColor="accent6" w:themeTint="90"/>
        <w:right w:val="single" w:sz="4" w:space="0" w:color="EA7775" w:themeColor="accent6" w:themeTint="90"/>
        <w:insideH w:val="single" w:sz="4" w:space="0" w:color="EA7775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211E" w:themeColor="accent6" w:fill="C9211E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6C2C1" w:themeColor="accent6" w:themeTint="40" w:fill="F6C2C1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6C2C1" w:themeColor="accent6" w:themeTint="40" w:fill="F6C2C1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18A303" w:themeColor="accent1"/>
        <w:left w:val="single" w:sz="32" w:space="0" w:color="18A303" w:themeColor="accent1"/>
        <w:bottom w:val="single" w:sz="32" w:space="0" w:color="18A303" w:themeColor="accent1"/>
        <w:right w:val="single" w:sz="32" w:space="0" w:color="18A303" w:themeColor="accent1"/>
      </w:tblBorders>
      <w:shd w:val="clear" w:color="18A303" w:themeColor="accent1" w:fill="18A303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18A303" w:themeColor="accent1"/>
          <w:bottom w:val="single" w:sz="12" w:space="0" w:color="FFFFFF" w:themeColor="light1"/>
        </w:tcBorders>
        <w:shd w:val="clear" w:color="18A303" w:themeColor="accent1" w:fill="18A303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18A303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18A303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18A303" w:themeColor="accent1" w:fill="18A303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18A303" w:themeColor="accent1" w:fill="18A303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18A303" w:themeColor="accent1" w:fill="18A303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36B3FB" w:themeColor="accent2" w:themeTint="97"/>
        <w:left w:val="single" w:sz="32" w:space="0" w:color="36B3FB" w:themeColor="accent2" w:themeTint="97"/>
        <w:bottom w:val="single" w:sz="32" w:space="0" w:color="36B3FB" w:themeColor="accent2" w:themeTint="97"/>
        <w:right w:val="single" w:sz="32" w:space="0" w:color="36B3FB" w:themeColor="accent2" w:themeTint="97"/>
      </w:tblBorders>
      <w:shd w:val="clear" w:color="36B3FB" w:themeColor="accent2" w:themeTint="97" w:fill="36B3FB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36B3FB" w:themeColor="accent2" w:themeTint="97"/>
          <w:bottom w:val="single" w:sz="12" w:space="0" w:color="FFFFFF" w:themeColor="light1"/>
        </w:tcBorders>
        <w:shd w:val="clear" w:color="36B3FB" w:themeColor="accent2" w:themeTint="97" w:fill="36B3FB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36B3FB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36B3FB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36B3FB" w:themeColor="accent2" w:themeTint="97" w:fill="36B3FB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36B3FB" w:themeColor="accent2" w:themeTint="97" w:fill="36B3FB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36B3FB" w:themeColor="accent2" w:themeTint="97" w:fill="36B3FB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FB7E35" w:themeColor="accent3" w:themeTint="98"/>
        <w:left w:val="single" w:sz="32" w:space="0" w:color="FB7E35" w:themeColor="accent3" w:themeTint="98"/>
        <w:bottom w:val="single" w:sz="32" w:space="0" w:color="FB7E35" w:themeColor="accent3" w:themeTint="98"/>
        <w:right w:val="single" w:sz="32" w:space="0" w:color="FB7E35" w:themeColor="accent3" w:themeTint="98"/>
      </w:tblBorders>
      <w:shd w:val="clear" w:color="FB7E35" w:themeColor="accent3" w:themeTint="98" w:fill="FB7E35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B7E35" w:themeColor="accent3" w:themeTint="98"/>
          <w:bottom w:val="single" w:sz="12" w:space="0" w:color="FFFFFF" w:themeColor="light1"/>
        </w:tcBorders>
        <w:shd w:val="clear" w:color="FB7E35" w:themeColor="accent3" w:themeTint="98" w:fill="FB7E35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B7E35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B7E35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B7E35" w:themeColor="accent3" w:themeTint="98" w:fill="FB7E35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B7E35" w:themeColor="accent3" w:themeTint="98" w:fill="FB7E35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B7E35" w:themeColor="accent3" w:themeTint="98" w:fill="FB7E35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E032FB" w:themeColor="accent4" w:themeTint="9A"/>
        <w:left w:val="single" w:sz="32" w:space="0" w:color="E032FB" w:themeColor="accent4" w:themeTint="9A"/>
        <w:bottom w:val="single" w:sz="32" w:space="0" w:color="E032FB" w:themeColor="accent4" w:themeTint="9A"/>
        <w:right w:val="single" w:sz="32" w:space="0" w:color="E032FB" w:themeColor="accent4" w:themeTint="9A"/>
      </w:tblBorders>
      <w:shd w:val="clear" w:color="E032FB" w:themeColor="accent4" w:themeTint="9A" w:fill="E032FB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E032FB" w:themeColor="accent4" w:themeTint="9A"/>
          <w:bottom w:val="single" w:sz="12" w:space="0" w:color="FFFFFF" w:themeColor="light1"/>
        </w:tcBorders>
        <w:shd w:val="clear" w:color="E032FB" w:themeColor="accent4" w:themeTint="9A" w:fill="E032FB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E032FB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032FB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E032FB" w:themeColor="accent4" w:themeTint="9A" w:fill="E032FB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E032FB" w:themeColor="accent4" w:themeTint="9A" w:fill="E032FB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E032FB" w:themeColor="accent4" w:themeTint="9A" w:fill="E032FB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FFD444" w:themeColor="accent5" w:themeTint="9A"/>
        <w:left w:val="single" w:sz="32" w:space="0" w:color="FFD444" w:themeColor="accent5" w:themeTint="9A"/>
        <w:bottom w:val="single" w:sz="32" w:space="0" w:color="FFD444" w:themeColor="accent5" w:themeTint="9A"/>
        <w:right w:val="single" w:sz="32" w:space="0" w:color="FFD444" w:themeColor="accent5" w:themeTint="9A"/>
      </w:tblBorders>
      <w:shd w:val="clear" w:color="FFD444" w:themeColor="accent5" w:themeTint="9A" w:fill="FFD444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444" w:themeColor="accent5" w:themeTint="9A"/>
          <w:bottom w:val="single" w:sz="12" w:space="0" w:color="FFFFFF" w:themeColor="light1"/>
        </w:tcBorders>
        <w:shd w:val="clear" w:color="FFD444" w:themeColor="accent5" w:themeTint="9A" w:fill="FFD444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444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444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444" w:themeColor="accent5" w:themeTint="9A" w:fill="FFD444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444" w:themeColor="accent5" w:themeTint="9A" w:fill="FFD444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444" w:themeColor="accent5" w:themeTint="9A" w:fill="FFD444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E9706E" w:themeColor="accent6" w:themeTint="98"/>
        <w:left w:val="single" w:sz="32" w:space="0" w:color="E9706E" w:themeColor="accent6" w:themeTint="98"/>
        <w:bottom w:val="single" w:sz="32" w:space="0" w:color="E9706E" w:themeColor="accent6" w:themeTint="98"/>
        <w:right w:val="single" w:sz="32" w:space="0" w:color="E9706E" w:themeColor="accent6" w:themeTint="98"/>
      </w:tblBorders>
      <w:shd w:val="clear" w:color="E9706E" w:themeColor="accent6" w:themeTint="98" w:fill="E9706E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E9706E" w:themeColor="accent6" w:themeTint="98"/>
          <w:bottom w:val="single" w:sz="12" w:space="0" w:color="FFFFFF" w:themeColor="light1"/>
        </w:tcBorders>
        <w:shd w:val="clear" w:color="E9706E" w:themeColor="accent6" w:themeTint="98" w:fill="E9706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E9706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9706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E9706E" w:themeColor="accent6" w:themeTint="98" w:fill="E9706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E9706E" w:themeColor="accent6" w:themeTint="98" w:fill="E9706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E9706E" w:themeColor="accent6" w:themeTint="98" w:fill="E9706E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18A303" w:themeColor="accent1"/>
        <w:bottom w:val="single" w:sz="4" w:space="0" w:color="18A303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D5E01" w:themeColor="accent1" w:themeShade="95"/>
      </w:rPr>
      <w:tblPr/>
      <w:tcPr>
        <w:tcBorders>
          <w:bottom w:val="single" w:sz="4" w:space="0" w:color="18A303" w:themeColor="accent1"/>
        </w:tcBorders>
      </w:tcPr>
    </w:tblStylePr>
    <w:tblStylePr w:type="lastRow">
      <w:rPr>
        <w:b/>
        <w:color w:val="0D5E01" w:themeColor="accent1" w:themeShade="95"/>
      </w:rPr>
      <w:tblPr/>
      <w:tcPr>
        <w:tcBorders>
          <w:top w:val="single" w:sz="4" w:space="0" w:color="18A303" w:themeColor="accent1"/>
        </w:tcBorders>
      </w:tcPr>
    </w:tblStylePr>
    <w:tblStylePr w:type="firstCol">
      <w:rPr>
        <w:b/>
        <w:color w:val="0D5E01" w:themeColor="accent1" w:themeShade="95"/>
      </w:rPr>
    </w:tblStylePr>
    <w:tblStylePr w:type="lastCol">
      <w:rPr>
        <w:b/>
        <w:color w:val="0D5E01" w:themeColor="accent1" w:themeShade="95"/>
      </w:rPr>
    </w:tblStylePr>
    <w:tblStylePr w:type="band1Vert">
      <w:tblPr/>
      <w:tcPr>
        <w:shd w:val="clear" w:color="B4FDA9" w:themeColor="accent1" w:themeTint="40" w:fill="B4FDA9" w:themeFill="accent1" w:themeFillTint="40"/>
      </w:tcPr>
    </w:tblStylePr>
    <w:tblStylePr w:type="band1Horz">
      <w:rPr>
        <w:rFonts w:ascii="Arial" w:hAnsi="Arial"/>
        <w:color w:val="0D5E01" w:themeColor="accent1" w:themeShade="95"/>
        <w:sz w:val="22"/>
      </w:rPr>
      <w:tblPr/>
      <w:tcPr>
        <w:shd w:val="clear" w:color="B4FDA9" w:themeColor="accent1" w:themeTint="40" w:fill="B4FDA9" w:themeFill="accent1" w:themeFillTint="40"/>
      </w:tcPr>
    </w:tblStylePr>
    <w:tblStylePr w:type="band2Horz">
      <w:rPr>
        <w:rFonts w:ascii="Arial" w:hAnsi="Arial"/>
        <w:color w:val="0D5E0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36B3FB" w:themeColor="accent2" w:themeTint="97"/>
        <w:bottom w:val="single" w:sz="4" w:space="0" w:color="36B3FB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36B3FB" w:themeColor="accent2" w:themeTint="97" w:themeShade="95"/>
      </w:rPr>
      <w:tblPr/>
      <w:tcPr>
        <w:tcBorders>
          <w:bottom w:val="single" w:sz="4" w:space="0" w:color="36B3FB" w:themeColor="accent2" w:themeTint="97"/>
        </w:tcBorders>
      </w:tcPr>
    </w:tblStylePr>
    <w:tblStylePr w:type="lastRow">
      <w:rPr>
        <w:b/>
        <w:color w:val="36B3FB" w:themeColor="accent2" w:themeTint="97" w:themeShade="95"/>
      </w:rPr>
      <w:tblPr/>
      <w:tcPr>
        <w:tcBorders>
          <w:top w:val="single" w:sz="4" w:space="0" w:color="36B3FB" w:themeColor="accent2" w:themeTint="97"/>
        </w:tcBorders>
      </w:tcPr>
    </w:tblStylePr>
    <w:tblStylePr w:type="firstCol">
      <w:rPr>
        <w:b/>
        <w:color w:val="36B3FB" w:themeColor="accent2" w:themeTint="97" w:themeShade="95"/>
      </w:rPr>
    </w:tblStylePr>
    <w:tblStylePr w:type="lastCol">
      <w:rPr>
        <w:b/>
        <w:color w:val="36B3FB" w:themeColor="accent2" w:themeTint="97" w:themeShade="95"/>
      </w:rPr>
    </w:tblStylePr>
    <w:tblStylePr w:type="band1Vert">
      <w:tblPr/>
      <w:tcPr>
        <w:shd w:val="clear" w:color="A9DEFD" w:themeColor="accent2" w:themeTint="40" w:fill="A9DEFD" w:themeFill="accent2" w:themeFillTint="40"/>
      </w:tcPr>
    </w:tblStylePr>
    <w:tblStylePr w:type="band1Horz">
      <w:rPr>
        <w:rFonts w:ascii="Arial" w:hAnsi="Arial"/>
        <w:color w:val="36B3FB" w:themeColor="accent2" w:themeTint="97" w:themeShade="95"/>
        <w:sz w:val="22"/>
      </w:rPr>
      <w:tblPr/>
      <w:tcPr>
        <w:shd w:val="clear" w:color="A9DEFD" w:themeColor="accent2" w:themeTint="40" w:fill="A9DEFD" w:themeFill="accent2" w:themeFillTint="40"/>
      </w:tcPr>
    </w:tblStylePr>
    <w:tblStylePr w:type="band2Horz">
      <w:rPr>
        <w:rFonts w:ascii="Arial" w:hAnsi="Arial"/>
        <w:color w:val="36B3FB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FB7E35" w:themeColor="accent3" w:themeTint="98"/>
        <w:bottom w:val="single" w:sz="4" w:space="0" w:color="FB7E35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B7E35" w:themeColor="accent3" w:themeTint="98" w:themeShade="95"/>
      </w:rPr>
      <w:tblPr/>
      <w:tcPr>
        <w:tcBorders>
          <w:bottom w:val="single" w:sz="4" w:space="0" w:color="FB7E35" w:themeColor="accent3" w:themeTint="98"/>
        </w:tcBorders>
      </w:tcPr>
    </w:tblStylePr>
    <w:tblStylePr w:type="lastRow">
      <w:rPr>
        <w:b/>
        <w:color w:val="FB7E35" w:themeColor="accent3" w:themeTint="98" w:themeShade="95"/>
      </w:rPr>
      <w:tblPr/>
      <w:tcPr>
        <w:tcBorders>
          <w:top w:val="single" w:sz="4" w:space="0" w:color="FB7E35" w:themeColor="accent3" w:themeTint="98"/>
        </w:tcBorders>
      </w:tcPr>
    </w:tblStylePr>
    <w:tblStylePr w:type="firstCol">
      <w:rPr>
        <w:b/>
        <w:color w:val="FB7E35" w:themeColor="accent3" w:themeTint="98" w:themeShade="95"/>
      </w:rPr>
    </w:tblStylePr>
    <w:tblStylePr w:type="lastCol">
      <w:rPr>
        <w:b/>
        <w:color w:val="FB7E35" w:themeColor="accent3" w:themeTint="98" w:themeShade="95"/>
      </w:rPr>
    </w:tblStylePr>
    <w:tblStylePr w:type="band1Vert">
      <w:tblPr/>
      <w:tcPr>
        <w:shd w:val="clear" w:color="FDC8A9" w:themeColor="accent3" w:themeTint="40" w:fill="FDC8A9" w:themeFill="accent3" w:themeFillTint="40"/>
      </w:tcPr>
    </w:tblStylePr>
    <w:tblStylePr w:type="band1Horz">
      <w:rPr>
        <w:rFonts w:ascii="Arial" w:hAnsi="Arial"/>
        <w:color w:val="FB7E35" w:themeColor="accent3" w:themeTint="98" w:themeShade="95"/>
        <w:sz w:val="22"/>
      </w:rPr>
      <w:tblPr/>
      <w:tcPr>
        <w:shd w:val="clear" w:color="FDC8A9" w:themeColor="accent3" w:themeTint="40" w:fill="FDC8A9" w:themeFill="accent3" w:themeFillTint="40"/>
      </w:tcPr>
    </w:tblStylePr>
    <w:tblStylePr w:type="band2Horz">
      <w:rPr>
        <w:rFonts w:ascii="Arial" w:hAnsi="Arial"/>
        <w:color w:val="FB7E35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E032FB" w:themeColor="accent4" w:themeTint="9A"/>
        <w:bottom w:val="single" w:sz="4" w:space="0" w:color="E032FB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E032FB" w:themeColor="accent4" w:themeTint="9A" w:themeShade="95"/>
      </w:rPr>
      <w:tblPr/>
      <w:tcPr>
        <w:tcBorders>
          <w:bottom w:val="single" w:sz="4" w:space="0" w:color="E032FB" w:themeColor="accent4" w:themeTint="9A"/>
        </w:tcBorders>
      </w:tcPr>
    </w:tblStylePr>
    <w:tblStylePr w:type="lastRow">
      <w:rPr>
        <w:b/>
        <w:color w:val="E032FB" w:themeColor="accent4" w:themeTint="9A" w:themeShade="95"/>
      </w:rPr>
      <w:tblPr/>
      <w:tcPr>
        <w:tcBorders>
          <w:top w:val="single" w:sz="4" w:space="0" w:color="E032FB" w:themeColor="accent4" w:themeTint="9A"/>
        </w:tcBorders>
      </w:tcPr>
    </w:tblStylePr>
    <w:tblStylePr w:type="firstCol">
      <w:rPr>
        <w:b/>
        <w:color w:val="E032FB" w:themeColor="accent4" w:themeTint="9A" w:themeShade="95"/>
      </w:rPr>
    </w:tblStylePr>
    <w:tblStylePr w:type="lastCol">
      <w:rPr>
        <w:b/>
        <w:color w:val="E032FB" w:themeColor="accent4" w:themeTint="9A" w:themeShade="95"/>
      </w:rPr>
    </w:tblStylePr>
    <w:tblStylePr w:type="band1Vert">
      <w:tblPr/>
      <w:tcPr>
        <w:shd w:val="clear" w:color="F2A9FD" w:themeColor="accent4" w:themeTint="40" w:fill="F2A9FD" w:themeFill="accent4" w:themeFillTint="40"/>
      </w:tcPr>
    </w:tblStylePr>
    <w:tblStylePr w:type="band1Horz">
      <w:rPr>
        <w:rFonts w:ascii="Arial" w:hAnsi="Arial"/>
        <w:color w:val="E032FB" w:themeColor="accent4" w:themeTint="9A" w:themeShade="95"/>
        <w:sz w:val="22"/>
      </w:rPr>
      <w:tblPr/>
      <w:tcPr>
        <w:shd w:val="clear" w:color="F2A9FD" w:themeColor="accent4" w:themeTint="40" w:fill="F2A9FD" w:themeFill="accent4" w:themeFillTint="40"/>
      </w:tcPr>
    </w:tblStylePr>
    <w:tblStylePr w:type="band2Horz">
      <w:rPr>
        <w:rFonts w:ascii="Arial" w:hAnsi="Arial"/>
        <w:color w:val="E032FB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FFD444" w:themeColor="accent5" w:themeTint="9A"/>
        <w:bottom w:val="single" w:sz="4" w:space="0" w:color="FFD444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444" w:themeColor="accent5" w:themeTint="9A" w:themeShade="95"/>
      </w:rPr>
      <w:tblPr/>
      <w:tcPr>
        <w:tcBorders>
          <w:bottom w:val="single" w:sz="4" w:space="0" w:color="FFD444" w:themeColor="accent5" w:themeTint="9A"/>
        </w:tcBorders>
      </w:tcPr>
    </w:tblStylePr>
    <w:tblStylePr w:type="lastRow">
      <w:rPr>
        <w:b/>
        <w:color w:val="FFD444" w:themeColor="accent5" w:themeTint="9A" w:themeShade="95"/>
      </w:rPr>
      <w:tblPr/>
      <w:tcPr>
        <w:tcBorders>
          <w:top w:val="single" w:sz="4" w:space="0" w:color="FFD444" w:themeColor="accent5" w:themeTint="9A"/>
        </w:tcBorders>
      </w:tcPr>
    </w:tblStylePr>
    <w:tblStylePr w:type="firstCol">
      <w:rPr>
        <w:b/>
        <w:color w:val="FFD444" w:themeColor="accent5" w:themeTint="9A" w:themeShade="95"/>
      </w:rPr>
    </w:tblStylePr>
    <w:tblStylePr w:type="lastCol">
      <w:rPr>
        <w:b/>
        <w:color w:val="FFD444" w:themeColor="accent5" w:themeTint="9A" w:themeShade="95"/>
      </w:rPr>
    </w:tblStylePr>
    <w:tblStylePr w:type="band1Vert">
      <w:tblPr/>
      <w:tcPr>
        <w:shd w:val="clear" w:color="FFEDB1" w:themeColor="accent5" w:themeTint="40" w:fill="FFEDB1" w:themeFill="accent5" w:themeFillTint="40"/>
      </w:tcPr>
    </w:tblStylePr>
    <w:tblStylePr w:type="band1Horz">
      <w:rPr>
        <w:rFonts w:ascii="Arial" w:hAnsi="Arial"/>
        <w:color w:val="FFD444" w:themeColor="accent5" w:themeTint="9A" w:themeShade="95"/>
        <w:sz w:val="22"/>
      </w:rPr>
      <w:tblPr/>
      <w:tcPr>
        <w:shd w:val="clear" w:color="FFEDB1" w:themeColor="accent5" w:themeTint="40" w:fill="FFEDB1" w:themeFill="accent5" w:themeFillTint="40"/>
      </w:tcPr>
    </w:tblStylePr>
    <w:tblStylePr w:type="band2Horz">
      <w:rPr>
        <w:rFonts w:ascii="Arial" w:hAnsi="Arial"/>
        <w:color w:val="FFD444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E9706E" w:themeColor="accent6" w:themeTint="98"/>
        <w:bottom w:val="single" w:sz="4" w:space="0" w:color="E9706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E9706E" w:themeColor="accent6" w:themeTint="98" w:themeShade="95"/>
      </w:rPr>
      <w:tblPr/>
      <w:tcPr>
        <w:tcBorders>
          <w:bottom w:val="single" w:sz="4" w:space="0" w:color="E9706E" w:themeColor="accent6" w:themeTint="98"/>
        </w:tcBorders>
      </w:tcPr>
    </w:tblStylePr>
    <w:tblStylePr w:type="lastRow">
      <w:rPr>
        <w:b/>
        <w:color w:val="E9706E" w:themeColor="accent6" w:themeTint="98" w:themeShade="95"/>
      </w:rPr>
      <w:tblPr/>
      <w:tcPr>
        <w:tcBorders>
          <w:top w:val="single" w:sz="4" w:space="0" w:color="E9706E" w:themeColor="accent6" w:themeTint="98"/>
        </w:tcBorders>
      </w:tcPr>
    </w:tblStylePr>
    <w:tblStylePr w:type="firstCol">
      <w:rPr>
        <w:b/>
        <w:color w:val="E9706E" w:themeColor="accent6" w:themeTint="98" w:themeShade="95"/>
      </w:rPr>
    </w:tblStylePr>
    <w:tblStylePr w:type="lastCol">
      <w:rPr>
        <w:b/>
        <w:color w:val="E9706E" w:themeColor="accent6" w:themeTint="98" w:themeShade="95"/>
      </w:rPr>
    </w:tblStylePr>
    <w:tblStylePr w:type="band1Vert">
      <w:tblPr/>
      <w:tcPr>
        <w:shd w:val="clear" w:color="F6C2C1" w:themeColor="accent6" w:themeTint="40" w:fill="F6C2C1" w:themeFill="accent6" w:themeFillTint="40"/>
      </w:tcPr>
    </w:tblStylePr>
    <w:tblStylePr w:type="band1Horz">
      <w:rPr>
        <w:rFonts w:ascii="Arial" w:hAnsi="Arial"/>
        <w:color w:val="E9706E" w:themeColor="accent6" w:themeTint="98" w:themeShade="95"/>
        <w:sz w:val="22"/>
      </w:rPr>
      <w:tblPr/>
      <w:tcPr>
        <w:shd w:val="clear" w:color="F6C2C1" w:themeColor="accent6" w:themeTint="40" w:fill="F6C2C1" w:themeFill="accent6" w:themeFillTint="40"/>
      </w:tcPr>
    </w:tblStylePr>
    <w:tblStylePr w:type="band2Horz">
      <w:rPr>
        <w:rFonts w:ascii="Arial" w:hAnsi="Arial"/>
        <w:color w:val="E9706E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18A303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0D5E0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18A303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0D5E01" w:themeColor="accent1" w:themeShade="95"/>
        <w:sz w:val="22"/>
      </w:rPr>
      <w:tblPr/>
      <w:tcPr>
        <w:tcBorders>
          <w:top w:val="single" w:sz="4" w:space="0" w:color="18A303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D5E0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18A303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0D5E01" w:themeColor="accent1" w:themeShade="95"/>
        <w:sz w:val="22"/>
      </w:rPr>
      <w:tblPr/>
      <w:tcPr>
        <w:tcBorders>
          <w:top w:val="none" w:sz="0" w:space="0" w:color="auto"/>
          <w:left w:val="single" w:sz="4" w:space="0" w:color="18A303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4FDA9" w:themeColor="accent1" w:themeTint="40" w:fill="B4FDA9" w:themeFill="accent1" w:themeFillTint="40"/>
      </w:tcPr>
    </w:tblStylePr>
    <w:tblStylePr w:type="band1Horz">
      <w:rPr>
        <w:rFonts w:ascii="Arial" w:hAnsi="Arial"/>
        <w:color w:val="0D5E01" w:themeColor="accent1" w:themeShade="95"/>
        <w:sz w:val="22"/>
      </w:rPr>
      <w:tblPr/>
      <w:tcPr>
        <w:shd w:val="clear" w:color="B4FDA9" w:themeColor="accent1" w:themeTint="40" w:fill="B4FDA9" w:themeFill="accent1" w:themeFillTint="40"/>
      </w:tcPr>
    </w:tblStylePr>
    <w:tblStylePr w:type="band2Horz">
      <w:rPr>
        <w:rFonts w:ascii="Arial" w:hAnsi="Arial"/>
        <w:color w:val="0D5E0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36B3FB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36B3FB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36B3FB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36B3FB" w:themeColor="accent2" w:themeTint="97" w:themeShade="95"/>
        <w:sz w:val="22"/>
      </w:rPr>
      <w:tblPr/>
      <w:tcPr>
        <w:tcBorders>
          <w:top w:val="single" w:sz="4" w:space="0" w:color="36B3FB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6B3FB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36B3FB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36B3FB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36B3FB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A9DEFD" w:themeColor="accent2" w:themeTint="40" w:fill="A9DEFD" w:themeFill="accent2" w:themeFillTint="40"/>
      </w:tcPr>
    </w:tblStylePr>
    <w:tblStylePr w:type="band1Horz">
      <w:rPr>
        <w:rFonts w:ascii="Arial" w:hAnsi="Arial"/>
        <w:color w:val="36B3FB" w:themeColor="accent2" w:themeTint="97" w:themeShade="95"/>
        <w:sz w:val="22"/>
      </w:rPr>
      <w:tblPr/>
      <w:tcPr>
        <w:shd w:val="clear" w:color="A9DEFD" w:themeColor="accent2" w:themeTint="40" w:fill="A9DEFD" w:themeFill="accent2" w:themeFillTint="40"/>
      </w:tcPr>
    </w:tblStylePr>
    <w:tblStylePr w:type="band2Horz">
      <w:rPr>
        <w:rFonts w:ascii="Arial" w:hAnsi="Arial"/>
        <w:color w:val="36B3FB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FB7E35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B7E35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B7E35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B7E35" w:themeColor="accent3" w:themeTint="98" w:themeShade="95"/>
        <w:sz w:val="22"/>
      </w:rPr>
      <w:tblPr/>
      <w:tcPr>
        <w:tcBorders>
          <w:top w:val="single" w:sz="4" w:space="0" w:color="FB7E35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B7E35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B7E35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B7E35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FB7E35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C8A9" w:themeColor="accent3" w:themeTint="40" w:fill="FDC8A9" w:themeFill="accent3" w:themeFillTint="40"/>
      </w:tcPr>
    </w:tblStylePr>
    <w:tblStylePr w:type="band1Horz">
      <w:rPr>
        <w:rFonts w:ascii="Arial" w:hAnsi="Arial"/>
        <w:color w:val="FB7E35" w:themeColor="accent3" w:themeTint="98" w:themeShade="95"/>
        <w:sz w:val="22"/>
      </w:rPr>
      <w:tblPr/>
      <w:tcPr>
        <w:shd w:val="clear" w:color="FDC8A9" w:themeColor="accent3" w:themeTint="40" w:fill="FDC8A9" w:themeFill="accent3" w:themeFillTint="40"/>
      </w:tcPr>
    </w:tblStylePr>
    <w:tblStylePr w:type="band2Horz">
      <w:rPr>
        <w:rFonts w:ascii="Arial" w:hAnsi="Arial"/>
        <w:color w:val="FB7E35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E032FB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E032FB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032FB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E032FB" w:themeColor="accent4" w:themeTint="9A" w:themeShade="95"/>
        <w:sz w:val="22"/>
      </w:rPr>
      <w:tblPr/>
      <w:tcPr>
        <w:tcBorders>
          <w:top w:val="single" w:sz="4" w:space="0" w:color="E032FB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E032FB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032FB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E032FB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E032FB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A9FD" w:themeColor="accent4" w:themeTint="40" w:fill="F2A9FD" w:themeFill="accent4" w:themeFillTint="40"/>
      </w:tcPr>
    </w:tblStylePr>
    <w:tblStylePr w:type="band1Horz">
      <w:rPr>
        <w:rFonts w:ascii="Arial" w:hAnsi="Arial"/>
        <w:color w:val="E032FB" w:themeColor="accent4" w:themeTint="9A" w:themeShade="95"/>
        <w:sz w:val="22"/>
      </w:rPr>
      <w:tblPr/>
      <w:tcPr>
        <w:shd w:val="clear" w:color="F2A9FD" w:themeColor="accent4" w:themeTint="40" w:fill="F2A9FD" w:themeFill="accent4" w:themeFillTint="40"/>
      </w:tcPr>
    </w:tblStylePr>
    <w:tblStylePr w:type="band2Horz">
      <w:rPr>
        <w:rFonts w:ascii="Arial" w:hAnsi="Arial"/>
        <w:color w:val="E032FB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FFD444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FD444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444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444" w:themeColor="accent5" w:themeTint="9A" w:themeShade="95"/>
        <w:sz w:val="22"/>
      </w:rPr>
      <w:tblPr/>
      <w:tcPr>
        <w:tcBorders>
          <w:top w:val="single" w:sz="4" w:space="0" w:color="FFD444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444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444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444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FFD444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DB1" w:themeColor="accent5" w:themeTint="40" w:fill="FFEDB1" w:themeFill="accent5" w:themeFillTint="40"/>
      </w:tcPr>
    </w:tblStylePr>
    <w:tblStylePr w:type="band1Horz">
      <w:rPr>
        <w:rFonts w:ascii="Arial" w:hAnsi="Arial"/>
        <w:color w:val="FFD444" w:themeColor="accent5" w:themeTint="9A" w:themeShade="95"/>
        <w:sz w:val="22"/>
      </w:rPr>
      <w:tblPr/>
      <w:tcPr>
        <w:shd w:val="clear" w:color="FFEDB1" w:themeColor="accent5" w:themeTint="40" w:fill="FFEDB1" w:themeFill="accent5" w:themeFillTint="40"/>
      </w:tcPr>
    </w:tblStylePr>
    <w:tblStylePr w:type="band2Horz">
      <w:rPr>
        <w:rFonts w:ascii="Arial" w:hAnsi="Arial"/>
        <w:color w:val="FFD444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E9706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E9706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9706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E9706E" w:themeColor="accent6" w:themeTint="98" w:themeShade="95"/>
        <w:sz w:val="22"/>
      </w:rPr>
      <w:tblPr/>
      <w:tcPr>
        <w:tcBorders>
          <w:top w:val="single" w:sz="4" w:space="0" w:color="E9706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E9706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9706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E9706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E9706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6C2C1" w:themeColor="accent6" w:themeTint="40" w:fill="F6C2C1" w:themeFill="accent6" w:themeFillTint="40"/>
      </w:tcPr>
    </w:tblStylePr>
    <w:tblStylePr w:type="band1Horz">
      <w:rPr>
        <w:rFonts w:ascii="Arial" w:hAnsi="Arial"/>
        <w:color w:val="E9706E" w:themeColor="accent6" w:themeTint="98" w:themeShade="95"/>
        <w:sz w:val="22"/>
      </w:rPr>
      <w:tblPr/>
      <w:tcPr>
        <w:shd w:val="clear" w:color="F6C2C1" w:themeColor="accent6" w:themeTint="40" w:fill="F6C2C1" w:themeFill="accent6" w:themeFillTint="40"/>
      </w:tcPr>
    </w:tblStylePr>
    <w:tblStylePr w:type="band2Horz">
      <w:rPr>
        <w:rFonts w:ascii="Arial" w:hAnsi="Arial"/>
        <w:color w:val="E9706E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1BBE03" w:themeColor="accent1" w:themeTint="EA" w:fill="1BBE03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BBE03" w:themeColor="accent1" w:themeTint="EA" w:fill="1BBE03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BBE03" w:themeColor="accent1" w:themeTint="EA" w:fill="1BBE03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BBE03" w:themeColor="accent1" w:themeTint="EA" w:fill="1BBE03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2FD94" w:themeColor="accent1" w:themeTint="50" w:fill="A2FD94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2FD94" w:themeColor="accent1" w:themeTint="50" w:fill="A2FD94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36B3FB" w:themeColor="accent2" w:themeTint="97" w:fill="36B3FB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36B3FB" w:themeColor="accent2" w:themeTint="97" w:fill="36B3FB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36B3FB" w:themeColor="accent2" w:themeTint="97" w:fill="36B3FB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36B3FB" w:themeColor="accent2" w:themeTint="97" w:fill="36B3FB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CE6FD" w:themeColor="accent2" w:themeTint="32" w:fill="BCE6FD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CE6FD" w:themeColor="accent2" w:themeTint="32" w:fill="BCE6FD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43E03" w:themeColor="accent3" w:themeTint="FE" w:fill="A43E03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43E03" w:themeColor="accent3" w:themeTint="FE" w:fill="A43E03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43E03" w:themeColor="accent3" w:themeTint="FE" w:fill="A43E03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43E03" w:themeColor="accent3" w:themeTint="FE" w:fill="A43E03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D2B9" w:themeColor="accent3" w:themeTint="34" w:fill="FDD2B9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D2B9" w:themeColor="accent3" w:themeTint="34" w:fill="FDD2B9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E032FB" w:themeColor="accent4" w:themeTint="9A" w:fill="E032FB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032FB" w:themeColor="accent4" w:themeTint="9A" w:fill="E032FB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032FB" w:themeColor="accent4" w:themeTint="9A" w:fill="E032FB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032FB" w:themeColor="accent4" w:themeTint="9A" w:fill="E032FB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4B9FD" w:themeColor="accent4" w:themeTint="34" w:fill="F4B9FD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4B9FD" w:themeColor="accent4" w:themeTint="34" w:fill="F4B9FD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C99C00" w:themeColor="accent5" w:fill="C99C00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C99C00" w:themeColor="accent5" w:fill="C99C00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C99C00" w:themeColor="accent5" w:fill="C99C00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C99C00" w:themeColor="accent5" w:fill="C99C00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0BF" w:themeColor="accent5" w:themeTint="34" w:fill="FFF0BF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0BF" w:themeColor="accent5" w:themeTint="34" w:fill="FFF0BF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C9211E" w:themeColor="accent6" w:fill="C9211E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C9211E" w:themeColor="accent6" w:fill="C9211E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C9211E" w:themeColor="accent6" w:fill="C9211E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C9211E" w:themeColor="accent6" w:fill="C9211E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7CDCD" w:themeColor="accent6" w:themeTint="34" w:fill="F7CDCD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7CDCD" w:themeColor="accent6" w:themeTint="34" w:fill="F7CDCD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0D5E01" w:themeColor="accent1" w:themeShade="95"/>
        <w:left w:val="single" w:sz="4" w:space="0" w:color="0D5E01" w:themeColor="accent1" w:themeShade="95"/>
        <w:bottom w:val="single" w:sz="4" w:space="0" w:color="0D5E01" w:themeColor="accent1" w:themeShade="95"/>
        <w:right w:val="single" w:sz="4" w:space="0" w:color="0D5E01" w:themeColor="accent1" w:themeShade="95"/>
        <w:insideH w:val="single" w:sz="4" w:space="0" w:color="0D5E01" w:themeColor="accent1" w:themeShade="95"/>
        <w:insideV w:val="single" w:sz="4" w:space="0" w:color="0D5E0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1BBE03" w:themeColor="accent1" w:themeTint="EA" w:fill="1BBE03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BBE03" w:themeColor="accent1" w:themeTint="EA" w:fill="1BBE03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BBE03" w:themeColor="accent1" w:themeTint="EA" w:fill="1BBE03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BBE03" w:themeColor="accent1" w:themeTint="EA" w:fill="1BBE03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2FD94" w:themeColor="accent1" w:themeTint="50" w:fill="A2FD94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2FD94" w:themeColor="accent1" w:themeTint="50" w:fill="A2FD94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013C5E" w:themeColor="accent2" w:themeShade="95"/>
        <w:left w:val="single" w:sz="4" w:space="0" w:color="013C5E" w:themeColor="accent2" w:themeShade="95"/>
        <w:bottom w:val="single" w:sz="4" w:space="0" w:color="013C5E" w:themeColor="accent2" w:themeShade="95"/>
        <w:right w:val="single" w:sz="4" w:space="0" w:color="013C5E" w:themeColor="accent2" w:themeShade="95"/>
        <w:insideH w:val="single" w:sz="4" w:space="0" w:color="013C5E" w:themeColor="accent2" w:themeShade="95"/>
        <w:insideV w:val="single" w:sz="4" w:space="0" w:color="013C5E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36B3FB" w:themeColor="accent2" w:themeTint="97" w:fill="36B3FB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36B3FB" w:themeColor="accent2" w:themeTint="97" w:fill="36B3FB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36B3FB" w:themeColor="accent2" w:themeTint="97" w:fill="36B3FB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36B3FB" w:themeColor="accent2" w:themeTint="97" w:fill="36B3FB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CE6FD" w:themeColor="accent2" w:themeTint="32" w:fill="BCE6FD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CE6FD" w:themeColor="accent2" w:themeTint="32" w:fill="BCE6FD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E2401" w:themeColor="accent3" w:themeShade="95"/>
        <w:left w:val="single" w:sz="4" w:space="0" w:color="5E2401" w:themeColor="accent3" w:themeShade="95"/>
        <w:bottom w:val="single" w:sz="4" w:space="0" w:color="5E2401" w:themeColor="accent3" w:themeShade="95"/>
        <w:right w:val="single" w:sz="4" w:space="0" w:color="5E2401" w:themeColor="accent3" w:themeShade="95"/>
        <w:insideH w:val="single" w:sz="4" w:space="0" w:color="5E2401" w:themeColor="accent3" w:themeShade="95"/>
        <w:insideV w:val="single" w:sz="4" w:space="0" w:color="5E2401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43E03" w:themeColor="accent3" w:themeTint="FE" w:fill="A43E03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43E03" w:themeColor="accent3" w:themeTint="FE" w:fill="A43E03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43E03" w:themeColor="accent3" w:themeTint="FE" w:fill="A43E03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43E03" w:themeColor="accent3" w:themeTint="FE" w:fill="A43E03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D2B9" w:themeColor="accent3" w:themeTint="34" w:fill="FDD2B9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D2B9" w:themeColor="accent3" w:themeTint="34" w:fill="FDD2B9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2015E" w:themeColor="accent4" w:themeShade="95"/>
        <w:left w:val="single" w:sz="4" w:space="0" w:color="52015E" w:themeColor="accent4" w:themeShade="95"/>
        <w:bottom w:val="single" w:sz="4" w:space="0" w:color="52015E" w:themeColor="accent4" w:themeShade="95"/>
        <w:right w:val="single" w:sz="4" w:space="0" w:color="52015E" w:themeColor="accent4" w:themeShade="95"/>
        <w:insideH w:val="single" w:sz="4" w:space="0" w:color="52015E" w:themeColor="accent4" w:themeShade="95"/>
        <w:insideV w:val="single" w:sz="4" w:space="0" w:color="52015E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E032FB" w:themeColor="accent4" w:themeTint="9A" w:fill="E032FB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032FB" w:themeColor="accent4" w:themeTint="9A" w:fill="E032FB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032FB" w:themeColor="accent4" w:themeTint="9A" w:fill="E032FB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032FB" w:themeColor="accent4" w:themeTint="9A" w:fill="E032FB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4B9FD" w:themeColor="accent4" w:themeTint="34" w:fill="F4B9FD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4B9FD" w:themeColor="accent4" w:themeTint="34" w:fill="F4B9FD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55A00" w:themeColor="accent5" w:themeShade="95"/>
        <w:left w:val="single" w:sz="4" w:space="0" w:color="755A00" w:themeColor="accent5" w:themeShade="95"/>
        <w:bottom w:val="single" w:sz="4" w:space="0" w:color="755A00" w:themeColor="accent5" w:themeShade="95"/>
        <w:right w:val="single" w:sz="4" w:space="0" w:color="755A00" w:themeColor="accent5" w:themeShade="95"/>
        <w:insideH w:val="single" w:sz="4" w:space="0" w:color="755A00" w:themeColor="accent5" w:themeShade="95"/>
        <w:insideV w:val="single" w:sz="4" w:space="0" w:color="755A00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C99C00" w:themeColor="accent5" w:fill="C99C00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C99C00" w:themeColor="accent5" w:fill="C99C00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C99C00" w:themeColor="accent5" w:fill="C99C00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C99C00" w:themeColor="accent5" w:fill="C99C00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0BF" w:themeColor="accent5" w:themeTint="34" w:fill="FFF0BF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0BF" w:themeColor="accent5" w:themeTint="34" w:fill="FFF0BF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51311" w:themeColor="accent6" w:themeShade="95"/>
        <w:left w:val="single" w:sz="4" w:space="0" w:color="751311" w:themeColor="accent6" w:themeShade="95"/>
        <w:bottom w:val="single" w:sz="4" w:space="0" w:color="751311" w:themeColor="accent6" w:themeShade="95"/>
        <w:right w:val="single" w:sz="4" w:space="0" w:color="751311" w:themeColor="accent6" w:themeShade="95"/>
        <w:insideH w:val="single" w:sz="4" w:space="0" w:color="751311" w:themeColor="accent6" w:themeShade="95"/>
        <w:insideV w:val="single" w:sz="4" w:space="0" w:color="751311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C9211E" w:themeColor="accent6" w:fill="C9211E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C9211E" w:themeColor="accent6" w:fill="C9211E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C9211E" w:themeColor="accent6" w:fill="C9211E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C9211E" w:themeColor="accent6" w:fill="C9211E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7CDCD" w:themeColor="accent6" w:themeTint="34" w:fill="F7CDCD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7CDCD" w:themeColor="accent6" w:themeTint="34" w:fill="F7CDCD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87FC76" w:themeColor="accent1" w:themeTint="67"/>
        <w:left w:val="single" w:sz="4" w:space="0" w:color="87FC76" w:themeColor="accent1" w:themeTint="67"/>
        <w:bottom w:val="single" w:sz="4" w:space="0" w:color="87FC76" w:themeColor="accent1" w:themeTint="67"/>
        <w:right w:val="single" w:sz="4" w:space="0" w:color="87FC76" w:themeColor="accent1" w:themeTint="67"/>
        <w:insideH w:val="single" w:sz="4" w:space="0" w:color="87FC76" w:themeColor="accent1" w:themeTint="67"/>
        <w:insideV w:val="single" w:sz="4" w:space="0" w:color="87FC76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18A303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18A303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18A303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7FC76" w:themeColor="accent1" w:themeTint="67"/>
          <w:left w:val="single" w:sz="4" w:space="0" w:color="87FC76" w:themeColor="accent1" w:themeTint="67"/>
          <w:bottom w:val="single" w:sz="4" w:space="0" w:color="87FC76" w:themeColor="accent1" w:themeTint="67"/>
          <w:right w:val="single" w:sz="4" w:space="0" w:color="87FC76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76CBFC" w:themeColor="accent2" w:themeTint="67"/>
        <w:left w:val="single" w:sz="4" w:space="0" w:color="76CBFC" w:themeColor="accent2" w:themeTint="67"/>
        <w:bottom w:val="single" w:sz="4" w:space="0" w:color="76CBFC" w:themeColor="accent2" w:themeTint="67"/>
        <w:right w:val="single" w:sz="4" w:space="0" w:color="76CBFC" w:themeColor="accent2" w:themeTint="67"/>
        <w:insideH w:val="single" w:sz="4" w:space="0" w:color="76CBFC" w:themeColor="accent2" w:themeTint="67"/>
        <w:insideV w:val="single" w:sz="4" w:space="0" w:color="76CBFC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36B3FB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36B3FB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36B3FB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6CBFC" w:themeColor="accent2" w:themeTint="67"/>
          <w:left w:val="single" w:sz="4" w:space="0" w:color="76CBFC" w:themeColor="accent2" w:themeTint="67"/>
          <w:bottom w:val="single" w:sz="4" w:space="0" w:color="76CBFC" w:themeColor="accent2" w:themeTint="67"/>
          <w:right w:val="single" w:sz="4" w:space="0" w:color="76CBFC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FCA776" w:themeColor="accent3" w:themeTint="67"/>
        <w:left w:val="single" w:sz="4" w:space="0" w:color="FCA776" w:themeColor="accent3" w:themeTint="67"/>
        <w:bottom w:val="single" w:sz="4" w:space="0" w:color="FCA776" w:themeColor="accent3" w:themeTint="67"/>
        <w:right w:val="single" w:sz="4" w:space="0" w:color="FCA776" w:themeColor="accent3" w:themeTint="67"/>
        <w:insideH w:val="single" w:sz="4" w:space="0" w:color="FCA776" w:themeColor="accent3" w:themeTint="67"/>
        <w:insideV w:val="single" w:sz="4" w:space="0" w:color="FCA776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B7E35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B7E35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B7E35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CA776" w:themeColor="accent3" w:themeTint="67"/>
          <w:left w:val="single" w:sz="4" w:space="0" w:color="FCA776" w:themeColor="accent3" w:themeTint="67"/>
          <w:bottom w:val="single" w:sz="4" w:space="0" w:color="FCA776" w:themeColor="accent3" w:themeTint="67"/>
          <w:right w:val="single" w:sz="4" w:space="0" w:color="FCA776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EA76FC" w:themeColor="accent4" w:themeTint="67"/>
        <w:left w:val="single" w:sz="4" w:space="0" w:color="EA76FC" w:themeColor="accent4" w:themeTint="67"/>
        <w:bottom w:val="single" w:sz="4" w:space="0" w:color="EA76FC" w:themeColor="accent4" w:themeTint="67"/>
        <w:right w:val="single" w:sz="4" w:space="0" w:color="EA76FC" w:themeColor="accent4" w:themeTint="67"/>
        <w:insideH w:val="single" w:sz="4" w:space="0" w:color="EA76FC" w:themeColor="accent4" w:themeTint="67"/>
        <w:insideV w:val="single" w:sz="4" w:space="0" w:color="EA76FC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E032FB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E032FB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E032FB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A76FC" w:themeColor="accent4" w:themeTint="67"/>
          <w:left w:val="single" w:sz="4" w:space="0" w:color="EA76FC" w:themeColor="accent4" w:themeTint="67"/>
          <w:bottom w:val="single" w:sz="4" w:space="0" w:color="EA76FC" w:themeColor="accent4" w:themeTint="67"/>
          <w:right w:val="single" w:sz="4" w:space="0" w:color="EA76FC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FFE282" w:themeColor="accent5" w:themeTint="67"/>
        <w:left w:val="single" w:sz="4" w:space="0" w:color="FFE282" w:themeColor="accent5" w:themeTint="67"/>
        <w:bottom w:val="single" w:sz="4" w:space="0" w:color="FFE282" w:themeColor="accent5" w:themeTint="67"/>
        <w:right w:val="single" w:sz="4" w:space="0" w:color="FFE282" w:themeColor="accent5" w:themeTint="67"/>
        <w:insideH w:val="single" w:sz="4" w:space="0" w:color="FFE282" w:themeColor="accent5" w:themeTint="67"/>
        <w:insideV w:val="single" w:sz="4" w:space="0" w:color="FFE282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444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444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444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282" w:themeColor="accent5" w:themeTint="67"/>
          <w:left w:val="single" w:sz="4" w:space="0" w:color="FFE282" w:themeColor="accent5" w:themeTint="67"/>
          <w:bottom w:val="single" w:sz="4" w:space="0" w:color="FFE282" w:themeColor="accent5" w:themeTint="67"/>
          <w:right w:val="single" w:sz="4" w:space="0" w:color="FFE282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09D9C" w:themeColor="accent6" w:themeTint="67"/>
        <w:left w:val="single" w:sz="4" w:space="0" w:color="F09D9C" w:themeColor="accent6" w:themeTint="67"/>
        <w:bottom w:val="single" w:sz="4" w:space="0" w:color="F09D9C" w:themeColor="accent6" w:themeTint="67"/>
        <w:right w:val="single" w:sz="4" w:space="0" w:color="F09D9C" w:themeColor="accent6" w:themeTint="67"/>
        <w:insideH w:val="single" w:sz="4" w:space="0" w:color="F09D9C" w:themeColor="accent6" w:themeTint="67"/>
        <w:insideV w:val="single" w:sz="4" w:space="0" w:color="F09D9C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E9706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E9706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E9706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09D9C" w:themeColor="accent6" w:themeTint="67"/>
          <w:left w:val="single" w:sz="4" w:space="0" w:color="F09D9C" w:themeColor="accent6" w:themeTint="67"/>
          <w:bottom w:val="single" w:sz="4" w:space="0" w:color="F09D9C" w:themeColor="accent6" w:themeTint="67"/>
          <w:right w:val="single" w:sz="4" w:space="0" w:color="F09D9C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rPr>
      <w:color w:val="000080"/>
      <w:u w:val="single"/>
    </w:rPr>
  </w:style>
  <w:style w:type="paragraph" w:styleId="a6">
    <w:name w:val="Body Text"/>
    <w:basedOn w:val="a"/>
    <w:pPr>
      <w:spacing w:after="140"/>
    </w:pPr>
  </w:style>
  <w:style w:type="paragraph" w:styleId="afa">
    <w:name w:val="List"/>
    <w:basedOn w:val="a6"/>
    <w:rPr>
      <w:rFonts w:cs="Noto Sans Devanagari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Обычная таблица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Courier New" w:eastAsia="Times New Roman" w:hAnsi="Courier New" w:cs="Courier New"/>
      <w:sz w:val="20"/>
      <w:szCs w:val="20"/>
      <w:lang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Tahoma" w:eastAsia="Times New Roman" w:hAnsi="Tahoma" w:cs="Tahoma"/>
      <w:sz w:val="26"/>
      <w:szCs w:val="26"/>
      <w:lang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eastAsia="ru-RU" w:bidi="ar-SA"/>
    </w:rPr>
  </w:style>
  <w:style w:type="paragraph" w:customStyle="1" w:styleId="afd">
    <w:name w:val="Колонтитул"/>
    <w:basedOn w:val="a"/>
    <w:qFormat/>
  </w:style>
  <w:style w:type="paragraph" w:styleId="ad">
    <w:name w:val="header"/>
    <w:basedOn w:val="afd"/>
    <w:link w:val="ac"/>
  </w:style>
  <w:style w:type="paragraph" w:styleId="af">
    <w:name w:val="footer"/>
    <w:basedOn w:val="afd"/>
    <w:link w:val="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" TargetMode="External"/><Relationship Id="rId13" Type="http://schemas.openxmlformats.org/officeDocument/2006/relationships/hyperlink" Target="file:///C:\Users\&#1047;&#1072;&#1083;-2\Desktop\&#1052;&#1063;&#1055;%20&#1085;&#1072;%20&#1089;&#1072;&#1081;&#1090;\&#1055;&#1072;&#1087;&#1082;&#1072;%20&#8470;%202%20&#1050;&#1086;&#1085;&#1094;&#1077;&#1089;&#1089;&#1080;&#1086;&#1085;&#1085;&#1086;&#1077;%20&#1089;&#1086;&#1075;&#1083;&#1072;&#1096;&#1077;&#1085;&#1080;&#1077;\&#1056;&#1072;&#1079;&#1076;&#1077;&#1083;%201\19.12.2020)%0a%7b&#1050;&#1086;&#1085;&#1089;&#1091;&#1083;&#1100;&#1090;&#1072;&#1085;&#1090;&#1055;&#1083;&#1102;&#1089;%7d" TargetMode="External"/><Relationship Id="rId18" Type="http://schemas.openxmlformats.org/officeDocument/2006/relationships/hyperlink" Target="file:///C:\Users\&#1047;&#1072;&#1083;-2\Desktop\&#1052;&#1063;&#1055;%20&#1085;&#1072;%20&#1089;&#1072;&#1081;&#1090;\&#1055;&#1072;&#1087;&#1082;&#1072;%20&#8470;%202%20&#1050;&#1086;&#1085;&#1094;&#1077;&#1089;&#1089;&#1080;&#1086;&#1085;&#1085;&#1086;&#1077;%20&#1089;&#1086;&#1075;&#1083;&#1072;&#1096;&#1077;&#1085;&#1080;&#1077;\&#1056;&#1072;&#1079;&#1076;&#1077;&#1083;%201\01.01.2021)%0a%7b&#1050;&#1086;&#1085;&#1089;&#1091;&#1083;&#1100;&#1090;&#1072;&#1085;&#1090;&#1055;&#1083;&#1102;&#1089;%7d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www.consultant.ru/" TargetMode="External"/><Relationship Id="rId12" Type="http://schemas.openxmlformats.org/officeDocument/2006/relationships/hyperlink" Target="consultantplus://offline/ref=1EAA9ACFC7FAEB36431A1BD7C1DC24083B0BE88D13CEEB7859FB6E85D89017C99DD83591A2344D6E361E13E96C8D16254684D39F62FA6935zFq6J" TargetMode="External"/><Relationship Id="rId17" Type="http://schemas.openxmlformats.org/officeDocument/2006/relationships/hyperlink" Target="consultantplus://offline/ref=468AE8703875941980A85132CBCA9D19094458F09CFD67B0DAC01A06012D12ACCE9BD3576F3EF5CB320A6CFF4B9935EA7C92694DC465364E05q4J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47;&#1072;&#1083;-2\Desktop\&#1052;&#1063;&#1055;%20&#1085;&#1072;%20&#1089;&#1072;&#1081;&#1090;\&#1055;&#1072;&#1087;&#1082;&#1072;%20&#8470;%202%20&#1050;&#1086;&#1085;&#1094;&#1077;&#1089;&#1089;&#1080;&#1086;&#1085;&#1085;&#1086;&#1077;%20&#1089;&#1086;&#1075;&#1083;&#1072;&#1096;&#1077;&#1085;&#1080;&#1077;\&#1056;&#1072;&#1079;&#1076;&#1077;&#1083;%201\19.12.2020)%0a%7b&#1050;&#1086;&#1085;&#1089;&#1091;&#1083;&#1100;&#1090;&#1072;&#1085;&#1090;&#1055;&#1083;&#1102;&#1089;%7d" TargetMode="External"/><Relationship Id="rId20" Type="http://schemas.openxmlformats.org/officeDocument/2006/relationships/hyperlink" Target="file:///C:\Users\&#1047;&#1072;&#1083;-2\Desktop\&#1052;&#1063;&#1055;%20&#1085;&#1072;%20&#1089;&#1072;&#1081;&#1090;\&#1055;&#1072;&#1087;&#1082;&#1072;%20&#8470;%202%20&#1050;&#1086;&#1085;&#1094;&#1077;&#1089;&#1089;&#1080;&#1086;&#1085;&#1085;&#1086;&#1077;%20&#1089;&#1086;&#1075;&#1083;&#1072;&#1096;&#1077;&#1085;&#1080;&#1077;\&#1056;&#1072;&#1079;&#1076;&#1077;&#1083;%201\19.12.2020)%0a%7b&#1050;&#1086;&#1085;&#1089;&#1091;&#1083;&#1100;&#1090;&#1072;&#1085;&#1090;&#1055;&#1083;&#1102;&#1089;%7d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EAA9ACFC7FAEB36431A1BD7C1DC24083A0BED8C11C7EB7859FB6E85D89017C99DD83591A2344D6D321E13E96C8D16254684D39F62FA6935zFq6J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file:///C:\Users\&#1047;&#1072;&#1083;-2\Desktop\&#1052;&#1063;&#1055;%20&#1085;&#1072;%20&#1089;&#1072;&#1081;&#1090;\&#1055;&#1072;&#1087;&#1082;&#1072;%20&#8470;%202%20&#1050;&#1086;&#1085;&#1094;&#1077;&#1089;&#1089;&#1080;&#1086;&#1085;&#1085;&#1086;&#1077;%20&#1089;&#1086;&#1075;&#1083;&#1072;&#1096;&#1077;&#1085;&#1080;&#1077;\&#1056;&#1072;&#1079;&#1076;&#1077;&#1083;%201\19.12.2020)%0a%7b&#1050;&#1086;&#1085;&#1089;&#1091;&#1083;&#1100;&#1090;&#1072;&#1085;&#1090;&#1055;&#1083;&#1102;&#1089;%7d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&#1047;&#1072;&#1083;-2\Desktop\&#1052;&#1063;&#1055;%20&#1085;&#1072;%20&#1089;&#1072;&#1081;&#1090;\&#1055;&#1072;&#1087;&#1082;&#1072;%20&#8470;%202%20&#1050;&#1086;&#1085;&#1094;&#1077;&#1089;&#1089;&#1080;&#1086;&#1085;&#1085;&#1086;&#1077;%20&#1089;&#1086;&#1075;&#1083;&#1072;&#1096;&#1077;&#1085;&#1080;&#1077;\&#1056;&#1072;&#1079;&#1076;&#1077;&#1083;%201\19.12.2020)%0a%7b&#1050;&#1086;&#1085;&#1089;&#1091;&#1083;&#1100;&#1090;&#1072;&#1085;&#1090;&#1055;&#1083;&#1102;&#1089;%7d" TargetMode="External"/><Relationship Id="rId19" Type="http://schemas.openxmlformats.org/officeDocument/2006/relationships/hyperlink" Target="file:///C:\Users\&#1047;&#1072;&#1083;-2\Desktop\&#1052;&#1063;&#1055;%20&#1085;&#1072;%20&#1089;&#1072;&#1081;&#1090;\&#1055;&#1072;&#1087;&#1082;&#1072;%20&#8470;%202%20&#1050;&#1086;&#1085;&#1094;&#1077;&#1089;&#1089;&#1080;&#1086;&#1085;&#1085;&#1086;&#1077;%20&#1089;&#1086;&#1075;&#1083;&#1072;&#1096;&#1077;&#1085;&#1080;&#1077;\&#1056;&#1072;&#1079;&#1076;&#1077;&#1083;%201\19.12.2020)%0a%7b&#1050;&#1086;&#1085;&#1089;&#1091;&#1083;&#1100;&#1090;&#1072;&#1085;&#1090;&#1055;&#1083;&#1102;&#1089;%7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EAA9ACFC7FAEB36431A1BD7C1DC24083A0BED8C11C7EB7859FB6E85D89017C99DD83591A2344D6D321E13E96C8D16254684D39F62FA6935zFq6J" TargetMode="External"/><Relationship Id="rId14" Type="http://schemas.openxmlformats.org/officeDocument/2006/relationships/hyperlink" Target="file:///C:\Users\&#1047;&#1072;&#1083;-2\Desktop\&#1052;&#1063;&#1055;%20&#1085;&#1072;%20&#1089;&#1072;&#1081;&#1090;\&#1055;&#1072;&#1087;&#1082;&#1072;%20&#8470;%202%20&#1050;&#1086;&#1085;&#1094;&#1077;&#1089;&#1089;&#1080;&#1086;&#1085;&#1085;&#1086;&#1077;%20&#1089;&#1086;&#1075;&#1083;&#1072;&#1096;&#1077;&#1085;&#1080;&#1077;\&#1056;&#1072;&#1079;&#1076;&#1077;&#1083;%201\19.12.2020)%0a%7b&#1050;&#1086;&#1085;&#1089;&#1091;&#1083;&#1100;&#1090;&#1072;&#1085;&#1090;&#1055;&#1083;&#1102;&#1089;%7d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/" TargetMode="Externa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2412</Words>
  <Characters>13755</Characters>
  <Application>Microsoft Office Word</Application>
  <DocSecurity>0</DocSecurity>
  <Lines>114</Lines>
  <Paragraphs>32</Paragraphs>
  <ScaleCrop>false</ScaleCrop>
  <Company>КонсультантПлюс Версия 4020.00.61</Company>
  <LinksUpToDate>false</LinksUpToDate>
  <CharactersWithSpaces>16135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04.03.2017 N 259(ред. от 24.01.2019)"Об утверждении Правил проведения мониторинга заключения и реализации заключенных концессионных соглашений, в том числе на предмет соблюдения сторонами концессионного соглашения взятых</dc:title>
  <dc:subject/>
  <dc:creator>ОтдЭко</dc:creator>
  <dc:description/>
  <cp:lastModifiedBy>Зал-2</cp:lastModifiedBy>
  <cp:revision>2</cp:revision>
  <dcterms:created xsi:type="dcterms:W3CDTF">2023-12-19T06:46:00Z</dcterms:created>
  <dcterms:modified xsi:type="dcterms:W3CDTF">2023-12-19T06:46:00Z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ОтдЭко</vt:lpwstr>
  </property>
</Properties>
</file>